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hint="eastAsia" w:ascii="宋体" w:hAnsi="宋体" w:eastAsia="方正黑体_GBK" w:cs="宋体"/>
          <w:spacing w:val="-11"/>
          <w:sz w:val="32"/>
          <w:szCs w:val="44"/>
          <w:lang w:val="en-US" w:eastAsia="zh-CN"/>
        </w:rPr>
      </w:pPr>
      <w:r>
        <w:rPr>
          <w:rFonts w:hint="eastAsia" w:ascii="宋体" w:hAnsi="宋体" w:eastAsia="方正黑体_GBK" w:cs="宋体"/>
          <w:spacing w:val="-11"/>
          <w:sz w:val="32"/>
          <w:szCs w:val="44"/>
        </w:rPr>
        <w:t>附件</w:t>
      </w:r>
      <w:r>
        <w:rPr>
          <w:rFonts w:hint="eastAsia" w:ascii="宋体" w:hAnsi="宋体" w:eastAsia="方正黑体_GBK" w:cs="宋体"/>
          <w:spacing w:val="-11"/>
          <w:sz w:val="32"/>
          <w:szCs w:val="44"/>
          <w:lang w:val="en-US" w:eastAsia="zh-CN"/>
        </w:rPr>
        <w:t>3</w:t>
      </w:r>
    </w:p>
    <w:p>
      <w:pPr>
        <w:spacing w:line="700" w:lineRule="exact"/>
        <w:jc w:val="center"/>
        <w:rPr>
          <w:rFonts w:hint="eastAsia" w:ascii="宋体" w:hAnsi="宋体" w:eastAsia="方正小标宋_GBK" w:cs="宋体"/>
          <w:spacing w:val="-11"/>
          <w:sz w:val="44"/>
          <w:szCs w:val="44"/>
        </w:rPr>
      </w:pPr>
    </w:p>
    <w:p>
      <w:pPr>
        <w:spacing w:line="700" w:lineRule="exact"/>
        <w:jc w:val="center"/>
        <w:rPr>
          <w:rFonts w:ascii="宋体" w:hAnsi="宋体" w:eastAsia="方正小标宋_GBK" w:cs="宋体"/>
          <w:spacing w:val="-11"/>
          <w:sz w:val="44"/>
          <w:szCs w:val="44"/>
        </w:rPr>
      </w:pPr>
      <w:bookmarkStart w:id="0" w:name="_GoBack"/>
      <w:bookmarkEnd w:id="0"/>
      <w:r>
        <w:rPr>
          <w:rFonts w:hint="eastAsia" w:ascii="宋体" w:hAnsi="宋体" w:eastAsia="方正小标宋_GBK" w:cs="宋体"/>
          <w:spacing w:val="-11"/>
          <w:sz w:val="44"/>
          <w:szCs w:val="44"/>
        </w:rPr>
        <w:t>部分不合格项目小知识</w:t>
      </w:r>
    </w:p>
    <w:p>
      <w:pPr>
        <w:spacing w:line="700" w:lineRule="exact"/>
        <w:jc w:val="center"/>
        <w:rPr>
          <w:rFonts w:ascii="宋体" w:hAnsi="宋体" w:eastAsia="方正仿宋_GBK" w:cs="方正仿宋_GBK"/>
          <w:color w:val="0000FF"/>
          <w:spacing w:val="-11"/>
          <w:sz w:val="32"/>
          <w:szCs w:val="32"/>
        </w:rPr>
      </w:pPr>
    </w:p>
    <w:p>
      <w:pPr>
        <w:spacing w:line="590" w:lineRule="exact"/>
        <w:ind w:firstLine="596" w:firstLineChars="200"/>
        <w:rPr>
          <w:rFonts w:ascii="微软雅黑" w:hAnsi="微软雅黑" w:eastAsia="微软雅黑" w:cs="微软雅黑"/>
          <w:color w:val="FF0000"/>
          <w:spacing w:val="-11"/>
          <w:sz w:val="32"/>
          <w:szCs w:val="32"/>
        </w:rPr>
      </w:pPr>
      <w:r>
        <w:rPr>
          <w:rFonts w:hint="eastAsia" w:ascii="微软雅黑" w:hAnsi="微软雅黑" w:eastAsia="微软雅黑" w:cs="微软雅黑"/>
          <w:spacing w:val="-11"/>
          <w:sz w:val="32"/>
          <w:szCs w:val="32"/>
        </w:rPr>
        <w:t>一、铝的残留量(干样品，以Al计)</w:t>
      </w:r>
    </w:p>
    <w:p>
      <w:pPr>
        <w:spacing w:line="590" w:lineRule="exact"/>
        <w:ind w:firstLine="516" w:firstLineChars="200"/>
        <w:rPr>
          <w:rFonts w:ascii="宋体" w:hAnsi="宋体" w:cs="宋体"/>
          <w:spacing w:val="-11"/>
          <w:sz w:val="28"/>
          <w:szCs w:val="28"/>
        </w:rPr>
      </w:pPr>
      <w:r>
        <w:rPr>
          <w:rFonts w:ascii="宋体" w:hAnsi="宋体" w:cs="宋体"/>
          <w:spacing w:val="-11"/>
          <w:sz w:val="28"/>
          <w:szCs w:val="28"/>
        </w:rPr>
        <w:t>硫酸铝钾（又名钾明矾），硫酸铝铵（又名铵明矾）是食品加工中常用的膨松剂和稳定剂，使用后产生铝残留。铝不是人体必需微量元素，不参与正常生理代谢，具有蓄积性，过量摄入会影响人体对铁、钙等成份的吸收，导致骨质疏松、贫血，甚至影响神经细胞的发育。《食品安全国家标准</w:t>
      </w:r>
      <w:r>
        <w:rPr>
          <w:rFonts w:hint="eastAsia" w:ascii="宋体" w:hAnsi="宋体" w:cs="宋体"/>
          <w:spacing w:val="-11"/>
          <w:sz w:val="28"/>
          <w:szCs w:val="28"/>
        </w:rPr>
        <w:t xml:space="preserve"> </w:t>
      </w:r>
      <w:r>
        <w:rPr>
          <w:rFonts w:ascii="宋体" w:hAnsi="宋体" w:cs="宋体"/>
          <w:spacing w:val="-11"/>
          <w:sz w:val="28"/>
          <w:szCs w:val="28"/>
        </w:rPr>
        <w:t>食品添加剂使用标准》（GB 2760</w:t>
      </w:r>
      <w:r>
        <w:rPr>
          <w:rFonts w:hint="eastAsia" w:ascii="宋体" w:hAnsi="宋体" w:cs="宋体"/>
          <w:spacing w:val="-11"/>
          <w:sz w:val="28"/>
          <w:szCs w:val="28"/>
        </w:rPr>
        <w:t>-</w:t>
      </w:r>
      <w:r>
        <w:rPr>
          <w:rFonts w:ascii="宋体" w:hAnsi="宋体" w:cs="宋体"/>
          <w:spacing w:val="-11"/>
          <w:sz w:val="28"/>
          <w:szCs w:val="28"/>
        </w:rPr>
        <w:t>2014）中规定，</w:t>
      </w:r>
      <w:r>
        <w:rPr>
          <w:rFonts w:hint="eastAsia" w:ascii="宋体" w:hAnsi="宋体" w:cs="宋体"/>
          <w:spacing w:val="-11"/>
          <w:sz w:val="28"/>
          <w:szCs w:val="28"/>
        </w:rPr>
        <w:t>油炸面制品（油条）中</w:t>
      </w:r>
      <w:r>
        <w:rPr>
          <w:rFonts w:ascii="宋体" w:hAnsi="宋体" w:cs="宋体"/>
          <w:spacing w:val="-11"/>
          <w:sz w:val="28"/>
          <w:szCs w:val="28"/>
        </w:rPr>
        <w:t>铝的最大残留限量为100mg/kg。造成铝的残留量不合格的原因，可能是商家违规过量使用所致，反映出企业守法经营意识薄弱</w:t>
      </w:r>
      <w:r>
        <w:rPr>
          <w:rFonts w:hint="eastAsia" w:ascii="宋体" w:hAnsi="宋体" w:cs="宋体"/>
          <w:spacing w:val="-11"/>
          <w:sz w:val="28"/>
          <w:szCs w:val="28"/>
        </w:rPr>
        <w:t>。</w:t>
      </w:r>
    </w:p>
    <w:p>
      <w:pPr>
        <w:numPr>
          <w:ilvl w:val="0"/>
          <w:numId w:val="1"/>
        </w:numPr>
        <w:spacing w:line="590" w:lineRule="exact"/>
        <w:ind w:firstLine="596" w:firstLineChars="200"/>
        <w:rPr>
          <w:rFonts w:ascii="微软雅黑" w:hAnsi="微软雅黑" w:eastAsia="微软雅黑" w:cs="微软雅黑"/>
          <w:spacing w:val="-11"/>
          <w:sz w:val="32"/>
          <w:szCs w:val="32"/>
        </w:rPr>
      </w:pPr>
      <w:r>
        <w:rPr>
          <w:rFonts w:hint="eastAsia" w:ascii="微软雅黑" w:hAnsi="微软雅黑" w:eastAsia="微软雅黑" w:cs="微软雅黑"/>
          <w:spacing w:val="-11"/>
          <w:sz w:val="32"/>
          <w:szCs w:val="32"/>
        </w:rPr>
        <w:t>脱氢乙酸及其钠盐(以脱氢乙酸计)</w:t>
      </w:r>
    </w:p>
    <w:p>
      <w:pPr>
        <w:spacing w:line="590" w:lineRule="exact"/>
        <w:ind w:firstLine="516" w:firstLineChars="200"/>
        <w:rPr>
          <w:rFonts w:ascii="宋体" w:hAnsi="宋体" w:cs="宋体"/>
          <w:spacing w:val="-11"/>
          <w:sz w:val="28"/>
          <w:szCs w:val="28"/>
        </w:rPr>
      </w:pPr>
      <w:r>
        <w:rPr>
          <w:rFonts w:hint="eastAsia" w:ascii="宋体" w:hAnsi="宋体" w:cs="宋体"/>
          <w:spacing w:val="-11"/>
          <w:sz w:val="28"/>
          <w:szCs w:val="28"/>
        </w:rPr>
        <w:t>脱氢乙酸及其钠盐是一种广谱食品防腐剂，对霉菌、酵母和细菌有较好的抑制作用</w:t>
      </w:r>
      <w:r>
        <w:rPr>
          <w:rFonts w:ascii="宋体" w:hAnsi="宋体" w:cs="宋体"/>
          <w:spacing w:val="-11"/>
          <w:sz w:val="28"/>
          <w:szCs w:val="28"/>
        </w:rPr>
        <w:t>。《食品安全国家标准 食品添加剂使用标准》（GB 2760</w:t>
      </w:r>
      <w:r>
        <w:rPr>
          <w:rFonts w:hint="eastAsia" w:ascii="宋体" w:hAnsi="宋体" w:cs="宋体"/>
          <w:spacing w:val="-11"/>
          <w:sz w:val="28"/>
          <w:szCs w:val="28"/>
        </w:rPr>
        <w:t>-</w:t>
      </w:r>
      <w:r>
        <w:rPr>
          <w:rFonts w:ascii="宋体" w:hAnsi="宋体" w:cs="宋体"/>
          <w:spacing w:val="-11"/>
          <w:sz w:val="28"/>
          <w:szCs w:val="28"/>
        </w:rPr>
        <w:t>2014）中规定，糕点中脱氢乙酸及其钠盐（以脱氢乙酸计）的最大使用量为0.5g/kg</w:t>
      </w:r>
      <w:r>
        <w:rPr>
          <w:rFonts w:hint="eastAsia" w:ascii="宋体" w:hAnsi="宋体" w:cs="宋体"/>
          <w:spacing w:val="-11"/>
          <w:sz w:val="28"/>
          <w:szCs w:val="28"/>
        </w:rPr>
        <w:t>。</w:t>
      </w:r>
      <w:r>
        <w:rPr>
          <w:rFonts w:ascii="宋体" w:hAnsi="宋体" w:cs="宋体"/>
          <w:spacing w:val="-11"/>
          <w:sz w:val="28"/>
          <w:szCs w:val="28"/>
        </w:rPr>
        <w:t>造成脱氢乙酸及其钠盐（以脱氢乙酸计）超标的原因可能是</w:t>
      </w:r>
      <w:r>
        <w:rPr>
          <w:rFonts w:hint="eastAsia" w:ascii="宋体" w:hAnsi="宋体" w:cs="宋体"/>
          <w:spacing w:val="-11"/>
          <w:sz w:val="28"/>
          <w:szCs w:val="28"/>
        </w:rPr>
        <w:t>：</w:t>
      </w:r>
      <w:r>
        <w:rPr>
          <w:rFonts w:ascii="宋体" w:hAnsi="宋体" w:cs="宋体"/>
          <w:spacing w:val="-11"/>
          <w:sz w:val="28"/>
          <w:szCs w:val="28"/>
        </w:rPr>
        <w:t>企业为增加产品保质期，</w:t>
      </w:r>
      <w:r>
        <w:rPr>
          <w:rFonts w:hint="eastAsia" w:ascii="宋体" w:hAnsi="宋体" w:cs="宋体"/>
          <w:spacing w:val="-11"/>
          <w:sz w:val="28"/>
          <w:szCs w:val="28"/>
        </w:rPr>
        <w:t>或者弥补产品生产过程卫生条件不佳而超范围使用；或其使用的复配添加剂中该添加剂含量较高；或在添加过程中未计量或计量不准确造成的。</w:t>
      </w:r>
    </w:p>
    <w:p>
      <w:pPr>
        <w:pStyle w:val="2"/>
        <w:ind w:firstLine="640"/>
        <w:rPr>
          <w:rFonts w:ascii="微软雅黑" w:hAnsi="微软雅黑" w:eastAsia="微软雅黑" w:cs="微软雅黑"/>
          <w:spacing w:val="-11"/>
          <w:szCs w:val="32"/>
        </w:rPr>
      </w:pPr>
      <w:r>
        <w:rPr>
          <w:rFonts w:hint="eastAsia" w:ascii="微软雅黑" w:hAnsi="微软雅黑" w:eastAsia="微软雅黑" w:cs="微软雅黑"/>
          <w:szCs w:val="32"/>
        </w:rPr>
        <w:t>三、</w:t>
      </w:r>
      <w:r>
        <w:rPr>
          <w:rFonts w:hint="eastAsia" w:ascii="微软雅黑" w:hAnsi="微软雅黑" w:eastAsia="微软雅黑" w:cs="微软雅黑"/>
          <w:spacing w:val="-11"/>
          <w:szCs w:val="32"/>
        </w:rPr>
        <w:t>镉(以Cd计)</w:t>
      </w:r>
    </w:p>
    <w:p>
      <w:pPr>
        <w:spacing w:line="590" w:lineRule="exact"/>
        <w:ind w:firstLine="516" w:firstLineChars="200"/>
        <w:rPr>
          <w:rFonts w:ascii="宋体" w:hAnsi="宋体" w:cs="宋体"/>
          <w:spacing w:val="-11"/>
          <w:sz w:val="28"/>
          <w:szCs w:val="28"/>
        </w:rPr>
      </w:pPr>
      <w:r>
        <w:rPr>
          <w:rFonts w:hint="eastAsia" w:ascii="宋体" w:hAnsi="宋体" w:cs="宋体"/>
          <w:spacing w:val="-11"/>
          <w:sz w:val="28"/>
          <w:szCs w:val="28"/>
        </w:rPr>
        <w:t>镉是最常见的重金属元素污染物之一。长期食用镉（以Cd计）超标的食品，可能对肾脏、肝脏和骨骼造成损害，还可能影响免疫系统，甚至可能对儿童高级神经活动有损害。《食品安全国家标准 食品中污染物限量》（GB 2762-2022）中规定，辣椒(尖椒)中镉的最大残留限量值为0.05mg/kg。辣椒(尖椒)中镉超标的原因，可能是其生长过程中富集环境中的镉元素。</w:t>
      </w:r>
    </w:p>
    <w:p>
      <w:pPr>
        <w:spacing w:line="594" w:lineRule="exact"/>
        <w:ind w:left="592"/>
        <w:rPr>
          <w:rFonts w:ascii="微软雅黑" w:hAnsi="微软雅黑" w:eastAsia="微软雅黑" w:cs="微软雅黑"/>
          <w:spacing w:val="-11"/>
          <w:sz w:val="32"/>
          <w:szCs w:val="32"/>
        </w:rPr>
      </w:pPr>
      <w:r>
        <w:rPr>
          <w:rFonts w:hint="eastAsia" w:ascii="微软雅黑" w:hAnsi="微软雅黑" w:eastAsia="微软雅黑" w:cs="微软雅黑"/>
          <w:spacing w:val="-11"/>
          <w:sz w:val="32"/>
          <w:szCs w:val="32"/>
        </w:rPr>
        <w:t>四、毒死蜱</w:t>
      </w:r>
    </w:p>
    <w:p>
      <w:pPr>
        <w:spacing w:line="590" w:lineRule="exact"/>
        <w:ind w:firstLine="516" w:firstLineChars="200"/>
        <w:rPr>
          <w:rFonts w:ascii="宋体" w:hAnsi="宋体" w:cs="宋体"/>
          <w:spacing w:val="-11"/>
          <w:sz w:val="28"/>
          <w:szCs w:val="28"/>
        </w:rPr>
      </w:pPr>
      <w:r>
        <w:rPr>
          <w:rFonts w:ascii="宋体" w:hAnsi="宋体" w:cs="宋体"/>
          <w:spacing w:val="-11"/>
          <w:sz w:val="28"/>
          <w:szCs w:val="28"/>
        </w:rPr>
        <w:t>毒</w:t>
      </w:r>
      <w:r>
        <w:rPr>
          <w:rFonts w:hint="eastAsia" w:ascii="宋体" w:hAnsi="宋体" w:cs="宋体"/>
          <w:spacing w:val="-11"/>
          <w:sz w:val="28"/>
          <w:szCs w:val="28"/>
        </w:rPr>
        <w:t>死蜱又名氯蜱硫磷，是目前全世界使用最广泛的有机磷酸酯杀虫剂之一。食用毒死蜱超标的食品，可能会引起头昏、头痛、无力、呕吐等症状，甚至还可能导致癫痫样抽搐</w:t>
      </w:r>
      <w:r>
        <w:rPr>
          <w:rFonts w:ascii="宋体" w:hAnsi="宋体" w:cs="宋体"/>
          <w:spacing w:val="-11"/>
          <w:sz w:val="28"/>
          <w:szCs w:val="28"/>
        </w:rPr>
        <w:t>。《食品安全国家标准 食品中农药最大残留限量》</w:t>
      </w:r>
      <w:r>
        <w:rPr>
          <w:rFonts w:hint="eastAsia" w:ascii="宋体" w:hAnsi="宋体" w:cs="宋体"/>
          <w:spacing w:val="-11"/>
          <w:sz w:val="28"/>
          <w:szCs w:val="28"/>
        </w:rPr>
        <w:t>（</w:t>
      </w:r>
      <w:r>
        <w:rPr>
          <w:rFonts w:ascii="宋体" w:hAnsi="宋体" w:cs="宋体"/>
          <w:spacing w:val="-11"/>
          <w:sz w:val="28"/>
          <w:szCs w:val="28"/>
        </w:rPr>
        <w:t>GB 2763-2021</w:t>
      </w:r>
      <w:r>
        <w:rPr>
          <w:rFonts w:hint="eastAsia" w:ascii="宋体" w:hAnsi="宋体" w:cs="宋体"/>
          <w:spacing w:val="-11"/>
          <w:sz w:val="28"/>
          <w:szCs w:val="28"/>
        </w:rPr>
        <w:t>）</w:t>
      </w:r>
      <w:r>
        <w:rPr>
          <w:rFonts w:ascii="宋体" w:hAnsi="宋体" w:cs="宋体"/>
          <w:spacing w:val="-11"/>
          <w:sz w:val="28"/>
          <w:szCs w:val="28"/>
        </w:rPr>
        <w:t>中规定，毒</w:t>
      </w:r>
      <w:r>
        <w:rPr>
          <w:rFonts w:hint="eastAsia" w:ascii="宋体" w:hAnsi="宋体" w:cs="宋体"/>
          <w:spacing w:val="-11"/>
          <w:sz w:val="28"/>
          <w:szCs w:val="28"/>
        </w:rPr>
        <w:t>死蜱在韭菜</w:t>
      </w:r>
      <w:r>
        <w:rPr>
          <w:rFonts w:ascii="宋体" w:hAnsi="宋体" w:cs="宋体"/>
          <w:spacing w:val="-11"/>
          <w:sz w:val="28"/>
          <w:szCs w:val="28"/>
        </w:rPr>
        <w:t>中的最大</w:t>
      </w:r>
      <w:r>
        <w:rPr>
          <w:rFonts w:hint="eastAsia" w:ascii="宋体" w:hAnsi="宋体" w:cs="宋体"/>
          <w:spacing w:val="-11"/>
          <w:sz w:val="28"/>
          <w:szCs w:val="28"/>
        </w:rPr>
        <w:t>残留限量值为</w:t>
      </w:r>
      <w:r>
        <w:rPr>
          <w:rFonts w:ascii="宋体" w:hAnsi="宋体" w:cs="宋体"/>
          <w:spacing w:val="-11"/>
          <w:sz w:val="28"/>
          <w:szCs w:val="28"/>
        </w:rPr>
        <w:t>0.0</w:t>
      </w:r>
      <w:r>
        <w:rPr>
          <w:rFonts w:hint="eastAsia" w:ascii="宋体" w:hAnsi="宋体" w:cs="宋体"/>
          <w:spacing w:val="-11"/>
          <w:sz w:val="28"/>
          <w:szCs w:val="28"/>
        </w:rPr>
        <w:t>2</w:t>
      </w:r>
      <w:r>
        <w:rPr>
          <w:rFonts w:ascii="宋体" w:hAnsi="宋体" w:cs="宋体"/>
          <w:spacing w:val="-11"/>
          <w:sz w:val="28"/>
          <w:szCs w:val="28"/>
        </w:rPr>
        <w:t>mg/kg。</w:t>
      </w:r>
      <w:r>
        <w:rPr>
          <w:rFonts w:hint="eastAsia" w:ascii="宋体" w:hAnsi="宋体" w:cs="宋体"/>
          <w:spacing w:val="-11"/>
          <w:sz w:val="28"/>
          <w:szCs w:val="28"/>
        </w:rPr>
        <w:t>韭菜中毒死蜱超标的原因，可能是菜农对农药使用的安全间隔期不了解，从而违规使用或滥用农药</w:t>
      </w:r>
      <w:r>
        <w:rPr>
          <w:rFonts w:ascii="宋体" w:hAnsi="宋体" w:cs="宋体"/>
          <w:spacing w:val="-11"/>
          <w:sz w:val="28"/>
          <w:szCs w:val="28"/>
        </w:rPr>
        <w:t>。</w:t>
      </w:r>
    </w:p>
    <w:p>
      <w:pPr>
        <w:spacing w:line="594" w:lineRule="exact"/>
        <w:ind w:left="592"/>
        <w:rPr>
          <w:rFonts w:ascii="微软雅黑" w:hAnsi="微软雅黑" w:eastAsia="微软雅黑" w:cs="微软雅黑"/>
          <w:spacing w:val="-11"/>
          <w:sz w:val="32"/>
          <w:szCs w:val="32"/>
        </w:rPr>
      </w:pPr>
      <w:r>
        <w:rPr>
          <w:rFonts w:hint="eastAsia" w:ascii="微软雅黑" w:hAnsi="微软雅黑" w:eastAsia="微软雅黑" w:cs="微软雅黑"/>
          <w:spacing w:val="-11"/>
          <w:sz w:val="32"/>
          <w:szCs w:val="32"/>
        </w:rPr>
        <w:t>五、地西泮</w:t>
      </w:r>
    </w:p>
    <w:p>
      <w:pPr>
        <w:spacing w:line="590" w:lineRule="exact"/>
        <w:ind w:firstLine="516" w:firstLineChars="200"/>
        <w:rPr>
          <w:rFonts w:ascii="宋体" w:hAnsi="宋体" w:cs="宋体"/>
          <w:spacing w:val="-11"/>
          <w:sz w:val="28"/>
          <w:szCs w:val="28"/>
        </w:rPr>
      </w:pPr>
      <w:r>
        <w:rPr>
          <w:rFonts w:hint="eastAsia" w:ascii="宋体" w:hAnsi="宋体" w:cs="宋体"/>
          <w:spacing w:val="-11"/>
          <w:sz w:val="28"/>
          <w:szCs w:val="28"/>
        </w:rPr>
        <w:t>地西泮又名安定，为苯二氮卓类镇静催眠药，临床上具有抗焦虑、镇静催眠、抗惊厥、抗癫痫及中枢性肌肉松弛作用。长期食用检出地西泮的食品，可能会引起嗜睡、头昏、乏力和记忆力下降等。《食品安全国家标准 食品中兽药最大残留限量》（GB 31650-2019）中规定，地西泮为允许作治疗用，但不得在动物性食品中检出的兽药。淡水鱼中检出地西泮的原因，可能是为降低新鲜活鱼对外界的感知能力，保证其经运输后仍然鲜活而违规使用。</w:t>
      </w:r>
    </w:p>
    <w:p>
      <w:pPr>
        <w:spacing w:line="594" w:lineRule="exact"/>
        <w:ind w:left="592"/>
        <w:rPr>
          <w:rFonts w:ascii="微软雅黑" w:hAnsi="微软雅黑" w:eastAsia="微软雅黑" w:cs="微软雅黑"/>
          <w:spacing w:val="-11"/>
          <w:sz w:val="32"/>
          <w:szCs w:val="32"/>
        </w:rPr>
      </w:pPr>
      <w:r>
        <w:rPr>
          <w:rFonts w:hint="eastAsia" w:ascii="微软雅黑" w:hAnsi="微软雅黑" w:eastAsia="微软雅黑" w:cs="微软雅黑"/>
          <w:spacing w:val="-11"/>
          <w:sz w:val="32"/>
          <w:szCs w:val="32"/>
        </w:rPr>
        <w:t>六、4-氯苯氧乙酸钠(以4-氯苯氧乙酸计)</w:t>
      </w:r>
    </w:p>
    <w:p>
      <w:pPr>
        <w:spacing w:line="590" w:lineRule="exact"/>
        <w:ind w:firstLine="516" w:firstLineChars="200"/>
        <w:rPr>
          <w:rFonts w:ascii="宋体" w:hAnsi="宋体" w:cs="宋体"/>
          <w:spacing w:val="-11"/>
          <w:sz w:val="28"/>
          <w:szCs w:val="28"/>
        </w:rPr>
      </w:pPr>
      <w:r>
        <w:rPr>
          <w:rFonts w:hint="eastAsia" w:ascii="宋体" w:hAnsi="宋体" w:cs="宋体"/>
          <w:spacing w:val="-11"/>
          <w:sz w:val="28"/>
          <w:szCs w:val="28"/>
        </w:rPr>
        <w:t>4-氯苯氧乙酸钠（以4-氯苯氧乙酸计）又称防落素、保果灵，是一种植物生长调节剂。具有防止落花落果、抑制豆类生根、调节植物株内激素平衡等作用。《国家食品药品监督管理总局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4-氯苯氧乙酸钠的原因，可能是生产者为提高豆芽产量，从而违规使用相关农药。</w:t>
      </w:r>
    </w:p>
    <w:p>
      <w:pPr>
        <w:spacing w:line="594" w:lineRule="exact"/>
        <w:ind w:left="592"/>
        <w:rPr>
          <w:rFonts w:ascii="微软雅黑" w:hAnsi="微软雅黑" w:eastAsia="微软雅黑" w:cs="微软雅黑"/>
          <w:spacing w:val="-11"/>
          <w:sz w:val="32"/>
          <w:szCs w:val="32"/>
        </w:rPr>
      </w:pPr>
      <w:r>
        <w:rPr>
          <w:rFonts w:hint="eastAsia" w:ascii="微软雅黑" w:hAnsi="微软雅黑" w:eastAsia="微软雅黑" w:cs="微软雅黑"/>
          <w:spacing w:val="-11"/>
          <w:sz w:val="32"/>
          <w:szCs w:val="32"/>
        </w:rPr>
        <w:t>七、恩诺沙星</w:t>
      </w:r>
    </w:p>
    <w:p>
      <w:pPr>
        <w:spacing w:line="590" w:lineRule="exact"/>
        <w:ind w:firstLine="516" w:firstLineChars="200"/>
        <w:rPr>
          <w:rFonts w:ascii="宋体" w:hAnsi="宋体" w:cs="宋体"/>
          <w:spacing w:val="-11"/>
          <w:sz w:val="28"/>
          <w:szCs w:val="28"/>
        </w:rPr>
      </w:pPr>
      <w:r>
        <w:rPr>
          <w:rFonts w:ascii="宋体" w:hAnsi="宋体" w:cs="宋体"/>
          <w:spacing w:val="-11"/>
          <w:sz w:val="28"/>
          <w:szCs w:val="28"/>
        </w:rPr>
        <w:t>恩诺沙星属于氟喹诺酮类药物，是一类人工合成的广谱抗菌药，用于治疗动物的皮肤感染、呼吸道感染等，是动物专属用药。摄入恩诺沙星超标的食品，可能引起头晕、头痛、睡眠不良、胃肠道不适等症状，甚至还可能引起肝脏损害</w:t>
      </w:r>
      <w:r>
        <w:rPr>
          <w:rFonts w:hint="eastAsia" w:ascii="宋体" w:hAnsi="宋体" w:cs="宋体"/>
          <w:spacing w:val="-11"/>
          <w:sz w:val="28"/>
          <w:szCs w:val="28"/>
        </w:rPr>
        <w:t>。《食品安全国家标准 食品中兽药最大残留限量》（</w:t>
      </w:r>
      <w:r>
        <w:rPr>
          <w:rFonts w:ascii="宋体" w:hAnsi="宋体" w:cs="宋体"/>
          <w:spacing w:val="-11"/>
          <w:sz w:val="28"/>
          <w:szCs w:val="28"/>
        </w:rPr>
        <w:t>GB 31650-</w:t>
      </w:r>
      <w:r>
        <w:rPr>
          <w:rFonts w:hint="eastAsia" w:ascii="宋体" w:hAnsi="宋体" w:cs="宋体"/>
          <w:spacing w:val="-11"/>
          <w:sz w:val="28"/>
          <w:szCs w:val="28"/>
        </w:rPr>
        <w:t>2019）</w:t>
      </w:r>
      <w:r>
        <w:rPr>
          <w:rFonts w:ascii="宋体" w:hAnsi="宋体" w:cs="宋体"/>
          <w:spacing w:val="-11"/>
          <w:sz w:val="28"/>
          <w:szCs w:val="28"/>
        </w:rPr>
        <w:t>中规定，恩诺沙星（以恩诺沙星和环丙沙星之和计）在</w:t>
      </w:r>
      <w:r>
        <w:rPr>
          <w:rFonts w:hint="eastAsia" w:ascii="宋体" w:hAnsi="宋体" w:cs="宋体"/>
          <w:spacing w:val="-11"/>
          <w:sz w:val="28"/>
          <w:szCs w:val="28"/>
        </w:rPr>
        <w:t>淡水鱼</w:t>
      </w:r>
      <w:r>
        <w:rPr>
          <w:rFonts w:ascii="宋体" w:hAnsi="宋体" w:cs="宋体"/>
          <w:spacing w:val="-11"/>
          <w:sz w:val="28"/>
          <w:szCs w:val="28"/>
        </w:rPr>
        <w:t>中最高残留限量为</w:t>
      </w:r>
      <w:r>
        <w:rPr>
          <w:rFonts w:hint="eastAsia" w:ascii="宋体" w:hAnsi="宋体" w:cs="宋体"/>
          <w:spacing w:val="-11"/>
          <w:sz w:val="28"/>
          <w:szCs w:val="28"/>
        </w:rPr>
        <w:t>100</w:t>
      </w:r>
      <w:r>
        <w:rPr>
          <w:rFonts w:ascii="宋体" w:hAnsi="宋体" w:cs="宋体"/>
          <w:spacing w:val="-11"/>
          <w:sz w:val="28"/>
          <w:szCs w:val="28"/>
        </w:rPr>
        <w:t>μg/kg。</w:t>
      </w:r>
      <w:r>
        <w:rPr>
          <w:rFonts w:hint="eastAsia" w:ascii="宋体" w:hAnsi="宋体" w:cs="宋体"/>
          <w:spacing w:val="-11"/>
          <w:sz w:val="28"/>
          <w:szCs w:val="28"/>
        </w:rPr>
        <w:t>淡水鱼</w:t>
      </w:r>
      <w:r>
        <w:rPr>
          <w:rFonts w:ascii="宋体" w:hAnsi="宋体" w:cs="宋体"/>
          <w:spacing w:val="-11"/>
          <w:sz w:val="28"/>
          <w:szCs w:val="28"/>
        </w:rPr>
        <w:t>中恩诺沙星超标的原因，可能是养殖户在养殖过程中违规使用相关兽药</w:t>
      </w:r>
      <w:r>
        <w:rPr>
          <w:rFonts w:hint="eastAsia" w:ascii="宋体" w:hAnsi="宋体" w:cs="宋体"/>
          <w:spacing w:val="-11"/>
          <w:sz w:val="28"/>
          <w:szCs w:val="28"/>
        </w:rPr>
        <w:t>。</w:t>
      </w:r>
    </w:p>
    <w:p>
      <w:pPr>
        <w:spacing w:line="594" w:lineRule="exact"/>
        <w:ind w:left="592"/>
        <w:rPr>
          <w:rFonts w:ascii="微软雅黑" w:hAnsi="微软雅黑" w:eastAsia="微软雅黑" w:cs="微软雅黑"/>
          <w:spacing w:val="-11"/>
          <w:sz w:val="32"/>
          <w:szCs w:val="32"/>
        </w:rPr>
      </w:pPr>
      <w:r>
        <w:rPr>
          <w:rFonts w:hint="eastAsia" w:ascii="微软雅黑" w:hAnsi="微软雅黑" w:eastAsia="微软雅黑" w:cs="微软雅黑"/>
          <w:spacing w:val="-11"/>
          <w:sz w:val="32"/>
          <w:szCs w:val="32"/>
        </w:rPr>
        <w:t>八、6-苄基腺嘌呤(6-BA)</w:t>
      </w:r>
    </w:p>
    <w:p>
      <w:pPr>
        <w:spacing w:line="590" w:lineRule="exact"/>
        <w:ind w:firstLine="516" w:firstLineChars="200"/>
        <w:rPr>
          <w:rFonts w:ascii="宋体" w:hAnsi="宋体" w:cs="宋体"/>
          <w:spacing w:val="-11"/>
          <w:sz w:val="28"/>
          <w:szCs w:val="28"/>
        </w:rPr>
      </w:pPr>
      <w:r>
        <w:rPr>
          <w:rFonts w:hint="eastAsia" w:ascii="宋体" w:hAnsi="宋体" w:cs="宋体"/>
          <w:spacing w:val="-11"/>
          <w:sz w:val="28"/>
          <w:szCs w:val="28"/>
        </w:rPr>
        <w:t>6-苄基腺嘌呤是</w:t>
      </w:r>
      <w:r>
        <w:rPr>
          <w:rFonts w:ascii="宋体" w:hAnsi="宋体" w:cs="宋体"/>
          <w:spacing w:val="-11"/>
          <w:sz w:val="28"/>
          <w:szCs w:val="28"/>
        </w:rPr>
        <w:t>一种广泛使用的添加于植物生长培养基的细胞分裂素</w:t>
      </w:r>
      <w:r>
        <w:rPr>
          <w:rFonts w:hint="eastAsia" w:ascii="宋体" w:hAnsi="宋体" w:cs="宋体"/>
          <w:spacing w:val="-11"/>
          <w:sz w:val="28"/>
          <w:szCs w:val="28"/>
        </w:rPr>
        <w:t>，2015年4月13，国家食品药品监督管理总局、农业部、国家卫生和计划生育委员会关于豆芽生产过程中禁止使用6-苄基腺嘌呤等物质的公告（2015年第11号）：6-苄基腺嘌呤、4-氯苯氧乙酸钠、赤霉素等物质作为低毒农药登记</w:t>
      </w:r>
      <w:r>
        <w:fldChar w:fldCharType="begin"/>
      </w:r>
      <w:r>
        <w:instrText xml:space="preserve"> HYPERLINK "http://news.foodmate.net/tag_4604.html" </w:instrText>
      </w:r>
      <w:r>
        <w:fldChar w:fldCharType="separate"/>
      </w:r>
      <w:r>
        <w:rPr>
          <w:rFonts w:hint="eastAsia" w:ascii="宋体" w:hAnsi="宋体" w:cs="宋体"/>
          <w:spacing w:val="-11"/>
          <w:sz w:val="28"/>
          <w:szCs w:val="28"/>
        </w:rPr>
        <w:t>管理</w:t>
      </w:r>
      <w:r>
        <w:rPr>
          <w:rFonts w:hint="eastAsia" w:ascii="宋体" w:hAnsi="宋体" w:cs="宋体"/>
          <w:spacing w:val="-11"/>
          <w:sz w:val="28"/>
          <w:szCs w:val="28"/>
        </w:rPr>
        <w:fldChar w:fldCharType="end"/>
      </w:r>
      <w:r>
        <w:rPr>
          <w:rFonts w:hint="eastAsia" w:ascii="宋体" w:hAnsi="宋体" w:cs="宋体"/>
          <w:spacing w:val="-11"/>
          <w:sz w:val="28"/>
          <w:szCs w:val="28"/>
        </w:rPr>
        <w:t>并限定了使用范围，豆芽生产不在可使用范围之列，且目前豆芽生产过程中使用上述物质的安全性尚无结论。为确保豆芽食用安全，现重申：生产者不得在豆芽生产过程中使用6-苄基腺嘌呤、4-氯苯氧乙酸钠、赤霉素等物质，豆芽经营者不得经营含有6-苄基腺嘌呤、4-氯苯氧乙酸钠、赤霉素等物质的豆芽。</w:t>
      </w:r>
    </w:p>
    <w:p>
      <w:pPr>
        <w:spacing w:line="594" w:lineRule="exact"/>
        <w:ind w:left="592"/>
        <w:rPr>
          <w:rFonts w:ascii="微软雅黑" w:hAnsi="微软雅黑" w:eastAsia="微软雅黑" w:cs="微软雅黑"/>
          <w:spacing w:val="-11"/>
          <w:sz w:val="32"/>
          <w:szCs w:val="32"/>
        </w:rPr>
      </w:pPr>
      <w:r>
        <w:rPr>
          <w:rFonts w:hint="eastAsia" w:ascii="微软雅黑" w:hAnsi="微软雅黑" w:eastAsia="微软雅黑" w:cs="微软雅黑"/>
          <w:spacing w:val="-11"/>
          <w:sz w:val="32"/>
          <w:szCs w:val="32"/>
        </w:rPr>
        <w:t>九、氧乐果</w:t>
      </w:r>
    </w:p>
    <w:p>
      <w:pPr>
        <w:spacing w:line="590" w:lineRule="exact"/>
        <w:ind w:firstLine="516" w:firstLineChars="200"/>
        <w:rPr>
          <w:rFonts w:hint="eastAsia" w:ascii="宋体" w:hAnsi="宋体" w:cs="宋体"/>
          <w:spacing w:val="-11"/>
          <w:sz w:val="28"/>
          <w:szCs w:val="28"/>
        </w:rPr>
      </w:pPr>
      <w:r>
        <w:rPr>
          <w:rFonts w:hint="eastAsia" w:ascii="宋体" w:hAnsi="宋体" w:cs="宋体"/>
          <w:spacing w:val="-11"/>
          <w:sz w:val="28"/>
          <w:szCs w:val="28"/>
        </w:rPr>
        <w:t>氧乐果，</w:t>
      </w:r>
      <w:r>
        <w:rPr>
          <w:rFonts w:ascii="宋体" w:hAnsi="宋体" w:cs="宋体"/>
          <w:spacing w:val="-11"/>
          <w:sz w:val="28"/>
          <w:szCs w:val="28"/>
        </w:rPr>
        <w:t>属内吸性有机磷杀虫、杀螨剂，</w:t>
      </w:r>
      <w:r>
        <w:rPr>
          <w:rFonts w:hint="eastAsia" w:ascii="宋体" w:hAnsi="宋体" w:cs="宋体"/>
          <w:spacing w:val="-11"/>
          <w:sz w:val="28"/>
          <w:szCs w:val="28"/>
        </w:rPr>
        <w:t>属高毒农药，</w:t>
      </w:r>
      <w:r>
        <w:rPr>
          <w:rFonts w:ascii="宋体" w:hAnsi="宋体" w:cs="宋体"/>
          <w:spacing w:val="-11"/>
          <w:sz w:val="28"/>
          <w:szCs w:val="28"/>
        </w:rPr>
        <w:t>主要用于防治棉花、小麦、果树、蔬菜、高粱等作物的害虫</w:t>
      </w:r>
      <w:r>
        <w:rPr>
          <w:rFonts w:hint="eastAsia" w:ascii="宋体" w:hAnsi="宋体" w:cs="宋体"/>
          <w:spacing w:val="-11"/>
          <w:sz w:val="28"/>
          <w:szCs w:val="28"/>
        </w:rPr>
        <w:t>。氧乐果能通过食道、呼吸道和皮肤引起中毒，</w:t>
      </w:r>
      <w:r>
        <w:rPr>
          <w:rFonts w:ascii="宋体" w:hAnsi="宋体" w:cs="宋体"/>
          <w:spacing w:val="-11"/>
          <w:sz w:val="28"/>
          <w:szCs w:val="28"/>
        </w:rPr>
        <w:t>特效解毒药有解磷定、阿托品等</w:t>
      </w:r>
      <w:r>
        <w:rPr>
          <w:rFonts w:hint="eastAsia" w:ascii="宋体" w:hAnsi="宋体" w:cs="宋体"/>
          <w:spacing w:val="-11"/>
          <w:sz w:val="28"/>
          <w:szCs w:val="28"/>
        </w:rPr>
        <w:t>。</w:t>
      </w:r>
      <w:r>
        <w:rPr>
          <w:rFonts w:ascii="宋体" w:hAnsi="宋体" w:cs="宋体"/>
          <w:spacing w:val="-11"/>
          <w:sz w:val="28"/>
          <w:szCs w:val="28"/>
        </w:rPr>
        <w:t>《食品安全国家标准 食品中农药最大残留限量》</w:t>
      </w:r>
      <w:r>
        <w:rPr>
          <w:rFonts w:hint="eastAsia" w:ascii="宋体" w:hAnsi="宋体" w:cs="宋体"/>
          <w:spacing w:val="-11"/>
          <w:sz w:val="28"/>
          <w:szCs w:val="28"/>
        </w:rPr>
        <w:t>（</w:t>
      </w:r>
      <w:r>
        <w:rPr>
          <w:rFonts w:ascii="宋体" w:hAnsi="宋体" w:cs="宋体"/>
          <w:spacing w:val="-11"/>
          <w:sz w:val="28"/>
          <w:szCs w:val="28"/>
        </w:rPr>
        <w:t>GB 2763-20</w:t>
      </w:r>
      <w:r>
        <w:rPr>
          <w:rFonts w:hint="eastAsia" w:ascii="宋体" w:hAnsi="宋体" w:cs="宋体"/>
          <w:spacing w:val="-11"/>
          <w:sz w:val="28"/>
          <w:szCs w:val="28"/>
        </w:rPr>
        <w:t>21）</w:t>
      </w:r>
      <w:r>
        <w:rPr>
          <w:rFonts w:ascii="宋体" w:hAnsi="宋体" w:cs="宋体"/>
          <w:spacing w:val="-11"/>
          <w:sz w:val="28"/>
          <w:szCs w:val="28"/>
        </w:rPr>
        <w:t>中规定</w:t>
      </w:r>
      <w:r>
        <w:rPr>
          <w:rFonts w:hint="eastAsia" w:ascii="宋体" w:hAnsi="宋体" w:cs="宋体"/>
          <w:spacing w:val="-11"/>
          <w:sz w:val="28"/>
          <w:szCs w:val="28"/>
        </w:rPr>
        <w:t>，氧乐果在芹菜中</w:t>
      </w:r>
      <w:r>
        <w:rPr>
          <w:rFonts w:ascii="宋体" w:hAnsi="宋体" w:cs="宋体"/>
          <w:spacing w:val="-11"/>
          <w:sz w:val="28"/>
          <w:szCs w:val="28"/>
        </w:rPr>
        <w:t>最大残留限量为0.02mg/kg</w:t>
      </w:r>
      <w:r>
        <w:rPr>
          <w:rFonts w:hint="eastAsia" w:ascii="宋体" w:hAnsi="宋体" w:cs="宋体"/>
          <w:spacing w:val="-11"/>
          <w:sz w:val="28"/>
          <w:szCs w:val="28"/>
        </w:rPr>
        <w:t>，造成芹菜中氧乐果超标的原因可能是种植环节过量的施用氧乐果药物；也可能是在蔬菜采收前喷洒氧乐果农药，没有过安全间隔期，导致其氧乐果残留超标。</w:t>
      </w:r>
    </w:p>
    <w:p>
      <w:pPr>
        <w:widowControl/>
        <w:spacing w:before="100" w:after="100" w:line="360" w:lineRule="auto"/>
        <w:ind w:firstLine="596" w:firstLineChars="200"/>
        <w:jc w:val="left"/>
        <w:rPr>
          <w:rFonts w:ascii="微软雅黑" w:hAnsi="微软雅黑" w:eastAsia="微软雅黑" w:cs="微软雅黑"/>
          <w:spacing w:val="-11"/>
          <w:sz w:val="32"/>
          <w:szCs w:val="32"/>
        </w:rPr>
      </w:pPr>
      <w:r>
        <w:rPr>
          <w:rFonts w:hint="eastAsia" w:ascii="微软雅黑" w:hAnsi="微软雅黑" w:eastAsia="微软雅黑" w:cs="微软雅黑"/>
          <w:spacing w:val="-11"/>
          <w:sz w:val="32"/>
          <w:szCs w:val="32"/>
          <w:lang w:eastAsia="zh-CN"/>
        </w:rPr>
        <w:t>十、</w:t>
      </w:r>
      <w:r>
        <w:rPr>
          <w:rFonts w:hint="eastAsia" w:ascii="微软雅黑" w:hAnsi="微软雅黑" w:eastAsia="微软雅黑" w:cs="微软雅黑"/>
          <w:spacing w:val="-11"/>
          <w:sz w:val="32"/>
          <w:szCs w:val="32"/>
        </w:rPr>
        <w:t>甲氧苄啶</w:t>
      </w:r>
    </w:p>
    <w:p>
      <w:pPr>
        <w:spacing w:line="59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甲氧苄啶是人工合成的广谱抗菌剂，常与磺胺类药物联合使用，以达到抗菌增效的效果。《食品安全国家标准 食品中兽药最大残留限量》GB 31650-2019中规定，甲氧苄啶在鸡肉中的最高残留限量为50μg/kg。鸡肉中甲氧苄啶超标的原因，可能是养殖户在联合用药治疗后药物还未完全代谢就出栏处理。食用甲氧苄啶超标的食品，可能会出现食欲不振、恶心等症状。</w:t>
      </w:r>
    </w:p>
    <w:p>
      <w:pPr>
        <w:pStyle w:val="2"/>
      </w:pPr>
    </w:p>
    <w:p>
      <w:pPr>
        <w:pStyle w:val="2"/>
        <w:ind w:firstLine="640"/>
        <w:rPr>
          <w:rFonts w:hint="eastAsia"/>
        </w:rPr>
      </w:pPr>
    </w:p>
    <w:sectPr>
      <w:footerReference r:id="rId3" w:type="default"/>
      <w:footerReference r:id="rId4" w:type="even"/>
      <w:pgSz w:w="11906" w:h="16838"/>
      <w:pgMar w:top="2098" w:right="141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1" w:fontKey="{2B4DC6C4-64A0-4751-A470-7906EF6CA666}"/>
  </w:font>
  <w:font w:name="方正小标宋_GBK">
    <w:panose1 w:val="03000509000000000000"/>
    <w:charset w:val="86"/>
    <w:family w:val="auto"/>
    <w:pitch w:val="default"/>
    <w:sig w:usb0="00000001" w:usb1="080E0000" w:usb2="00000000" w:usb3="00000000" w:csb0="00040000" w:csb1="00000000"/>
    <w:embedRegular r:id="rId2" w:fontKey="{4C40055F-6B61-424A-8AC4-BD800DF75AEB}"/>
  </w:font>
  <w:font w:name="方正仿宋_GBK">
    <w:panose1 w:val="03000509000000000000"/>
    <w:charset w:val="86"/>
    <w:family w:val="auto"/>
    <w:pitch w:val="default"/>
    <w:sig w:usb0="00000001" w:usb1="080E0000" w:usb2="00000000" w:usb3="00000000" w:csb0="00040000" w:csb1="00000000"/>
    <w:embedRegular r:id="rId3" w:fontKey="{CB573FB0-4DD9-467A-B359-E3A3F6D863BA}"/>
  </w:font>
  <w:font w:name="微软雅黑">
    <w:panose1 w:val="020B0503020204020204"/>
    <w:charset w:val="86"/>
    <w:family w:val="swiss"/>
    <w:pitch w:val="default"/>
    <w:sig w:usb0="80000287" w:usb1="2ACF3C50" w:usb2="00000016" w:usb3="00000000" w:csb0="0004001F" w:csb1="00000000"/>
    <w:embedRegular r:id="rId4" w:fontKey="{8A0A23DF-6E20-4E6D-9E16-1BEDA7A1A8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827681"/>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38E11A"/>
    <w:multiLevelType w:val="singleLevel"/>
    <w:tmpl w:val="FA38E1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ZTc0M2RhNzZmMmIyMWY0ZWRkNTRiNDdjOTVjNjEifQ=="/>
  </w:docVars>
  <w:rsids>
    <w:rsidRoot w:val="15B85137"/>
    <w:rsid w:val="000119D5"/>
    <w:rsid w:val="00013E30"/>
    <w:rsid w:val="000276F3"/>
    <w:rsid w:val="00037286"/>
    <w:rsid w:val="00045657"/>
    <w:rsid w:val="00056BE0"/>
    <w:rsid w:val="00063DA7"/>
    <w:rsid w:val="000868BD"/>
    <w:rsid w:val="0009071C"/>
    <w:rsid w:val="000C2E48"/>
    <w:rsid w:val="000C63B4"/>
    <w:rsid w:val="000D132D"/>
    <w:rsid w:val="000E0F61"/>
    <w:rsid w:val="000E639C"/>
    <w:rsid w:val="00101A1D"/>
    <w:rsid w:val="0010777E"/>
    <w:rsid w:val="00110E38"/>
    <w:rsid w:val="00111015"/>
    <w:rsid w:val="00116CA2"/>
    <w:rsid w:val="0012448A"/>
    <w:rsid w:val="00135634"/>
    <w:rsid w:val="00135A77"/>
    <w:rsid w:val="00142BDE"/>
    <w:rsid w:val="00152C6F"/>
    <w:rsid w:val="0015345E"/>
    <w:rsid w:val="00170041"/>
    <w:rsid w:val="0018028B"/>
    <w:rsid w:val="001B6492"/>
    <w:rsid w:val="001F099F"/>
    <w:rsid w:val="00205007"/>
    <w:rsid w:val="00207E8D"/>
    <w:rsid w:val="00217ABC"/>
    <w:rsid w:val="00235EFE"/>
    <w:rsid w:val="00256527"/>
    <w:rsid w:val="00262B9D"/>
    <w:rsid w:val="00263FF9"/>
    <w:rsid w:val="00277D08"/>
    <w:rsid w:val="002805F4"/>
    <w:rsid w:val="002973CA"/>
    <w:rsid w:val="002B1D5C"/>
    <w:rsid w:val="003122C1"/>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753AE"/>
    <w:rsid w:val="004B53E8"/>
    <w:rsid w:val="004C53F6"/>
    <w:rsid w:val="004D036B"/>
    <w:rsid w:val="004D0CC7"/>
    <w:rsid w:val="004D4E94"/>
    <w:rsid w:val="004E3621"/>
    <w:rsid w:val="00514B88"/>
    <w:rsid w:val="005216E2"/>
    <w:rsid w:val="00541843"/>
    <w:rsid w:val="00551758"/>
    <w:rsid w:val="00565D70"/>
    <w:rsid w:val="00576235"/>
    <w:rsid w:val="0057719D"/>
    <w:rsid w:val="00580AA7"/>
    <w:rsid w:val="00586FEC"/>
    <w:rsid w:val="005A6A35"/>
    <w:rsid w:val="005A758A"/>
    <w:rsid w:val="005C0139"/>
    <w:rsid w:val="005C2A8D"/>
    <w:rsid w:val="005C692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57272"/>
    <w:rsid w:val="0076297A"/>
    <w:rsid w:val="00766A6B"/>
    <w:rsid w:val="00771D1B"/>
    <w:rsid w:val="00786192"/>
    <w:rsid w:val="0079128E"/>
    <w:rsid w:val="007B44DC"/>
    <w:rsid w:val="007C2539"/>
    <w:rsid w:val="007C55DC"/>
    <w:rsid w:val="007C62AA"/>
    <w:rsid w:val="007D13DA"/>
    <w:rsid w:val="007D761E"/>
    <w:rsid w:val="00800E6D"/>
    <w:rsid w:val="00806AD3"/>
    <w:rsid w:val="00821EE7"/>
    <w:rsid w:val="00845504"/>
    <w:rsid w:val="00846448"/>
    <w:rsid w:val="00887F75"/>
    <w:rsid w:val="00897065"/>
    <w:rsid w:val="008A48FA"/>
    <w:rsid w:val="008A5021"/>
    <w:rsid w:val="008B15D7"/>
    <w:rsid w:val="008B19FA"/>
    <w:rsid w:val="008C1364"/>
    <w:rsid w:val="008C1784"/>
    <w:rsid w:val="008C6ED2"/>
    <w:rsid w:val="008E0081"/>
    <w:rsid w:val="008E32F5"/>
    <w:rsid w:val="008E5099"/>
    <w:rsid w:val="008F021C"/>
    <w:rsid w:val="00900777"/>
    <w:rsid w:val="0093073B"/>
    <w:rsid w:val="0094661A"/>
    <w:rsid w:val="00960313"/>
    <w:rsid w:val="00965F07"/>
    <w:rsid w:val="00970BC3"/>
    <w:rsid w:val="00971CE9"/>
    <w:rsid w:val="00974858"/>
    <w:rsid w:val="00974E0A"/>
    <w:rsid w:val="00994297"/>
    <w:rsid w:val="009B222A"/>
    <w:rsid w:val="009B4783"/>
    <w:rsid w:val="009C1BB5"/>
    <w:rsid w:val="009C3466"/>
    <w:rsid w:val="009C5CCB"/>
    <w:rsid w:val="009D1B09"/>
    <w:rsid w:val="009E7BB2"/>
    <w:rsid w:val="00A00D91"/>
    <w:rsid w:val="00A010B9"/>
    <w:rsid w:val="00A01E71"/>
    <w:rsid w:val="00A0353B"/>
    <w:rsid w:val="00A1474C"/>
    <w:rsid w:val="00A26906"/>
    <w:rsid w:val="00A4164C"/>
    <w:rsid w:val="00A636E2"/>
    <w:rsid w:val="00A8267D"/>
    <w:rsid w:val="00A91948"/>
    <w:rsid w:val="00A91E2F"/>
    <w:rsid w:val="00A9326F"/>
    <w:rsid w:val="00A93A64"/>
    <w:rsid w:val="00AA1D13"/>
    <w:rsid w:val="00AA3B2A"/>
    <w:rsid w:val="00AA5C0A"/>
    <w:rsid w:val="00AC1A0F"/>
    <w:rsid w:val="00AD14F2"/>
    <w:rsid w:val="00AD27DE"/>
    <w:rsid w:val="00AD3EE2"/>
    <w:rsid w:val="00AE2315"/>
    <w:rsid w:val="00AF4A96"/>
    <w:rsid w:val="00B009F2"/>
    <w:rsid w:val="00B11ADD"/>
    <w:rsid w:val="00B9140D"/>
    <w:rsid w:val="00B935D9"/>
    <w:rsid w:val="00BA20C2"/>
    <w:rsid w:val="00BA3536"/>
    <w:rsid w:val="00BB0DB0"/>
    <w:rsid w:val="00BC6D13"/>
    <w:rsid w:val="00BD226E"/>
    <w:rsid w:val="00BD52C6"/>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4821"/>
    <w:rsid w:val="00CF5F6A"/>
    <w:rsid w:val="00CF6EF9"/>
    <w:rsid w:val="00D16B82"/>
    <w:rsid w:val="00D2666E"/>
    <w:rsid w:val="00D501B0"/>
    <w:rsid w:val="00D63508"/>
    <w:rsid w:val="00D70167"/>
    <w:rsid w:val="00D83AA0"/>
    <w:rsid w:val="00D87B22"/>
    <w:rsid w:val="00D93034"/>
    <w:rsid w:val="00DA0BCC"/>
    <w:rsid w:val="00DA36C5"/>
    <w:rsid w:val="00DC00F9"/>
    <w:rsid w:val="00DD476E"/>
    <w:rsid w:val="00E00F1F"/>
    <w:rsid w:val="00E01E3C"/>
    <w:rsid w:val="00E167A0"/>
    <w:rsid w:val="00E21F73"/>
    <w:rsid w:val="00E32D98"/>
    <w:rsid w:val="00E43414"/>
    <w:rsid w:val="00E51E77"/>
    <w:rsid w:val="00E54A66"/>
    <w:rsid w:val="00E5774B"/>
    <w:rsid w:val="00E674A4"/>
    <w:rsid w:val="00E802AB"/>
    <w:rsid w:val="00E8121D"/>
    <w:rsid w:val="00E82C94"/>
    <w:rsid w:val="00EA77E3"/>
    <w:rsid w:val="00EC0211"/>
    <w:rsid w:val="00ED0256"/>
    <w:rsid w:val="00ED0DA7"/>
    <w:rsid w:val="00ED21A0"/>
    <w:rsid w:val="00EF60E8"/>
    <w:rsid w:val="00EF6B02"/>
    <w:rsid w:val="00F05932"/>
    <w:rsid w:val="00F075AE"/>
    <w:rsid w:val="00F1347C"/>
    <w:rsid w:val="00F75612"/>
    <w:rsid w:val="00F80202"/>
    <w:rsid w:val="00F915D8"/>
    <w:rsid w:val="00FA490E"/>
    <w:rsid w:val="00FA66BA"/>
    <w:rsid w:val="00FC3D20"/>
    <w:rsid w:val="00FF2E4D"/>
    <w:rsid w:val="02B726F0"/>
    <w:rsid w:val="02E57613"/>
    <w:rsid w:val="03A74BA9"/>
    <w:rsid w:val="05A8609E"/>
    <w:rsid w:val="077F1302"/>
    <w:rsid w:val="08A718AC"/>
    <w:rsid w:val="08EB30F3"/>
    <w:rsid w:val="0AAD14F9"/>
    <w:rsid w:val="0B6871A7"/>
    <w:rsid w:val="0BAF665A"/>
    <w:rsid w:val="0CF07394"/>
    <w:rsid w:val="0EFB1BB6"/>
    <w:rsid w:val="0FED6590"/>
    <w:rsid w:val="10022AD1"/>
    <w:rsid w:val="11AA7966"/>
    <w:rsid w:val="11C52008"/>
    <w:rsid w:val="1270735C"/>
    <w:rsid w:val="127F1DEB"/>
    <w:rsid w:val="130C65CB"/>
    <w:rsid w:val="141679B1"/>
    <w:rsid w:val="159E2C66"/>
    <w:rsid w:val="15A206DE"/>
    <w:rsid w:val="15B85137"/>
    <w:rsid w:val="16041BA6"/>
    <w:rsid w:val="187854F2"/>
    <w:rsid w:val="18BA4890"/>
    <w:rsid w:val="1D2A530E"/>
    <w:rsid w:val="1ED8781E"/>
    <w:rsid w:val="1F0653D6"/>
    <w:rsid w:val="1FA83868"/>
    <w:rsid w:val="20915F6C"/>
    <w:rsid w:val="22A46395"/>
    <w:rsid w:val="23496F3C"/>
    <w:rsid w:val="242F7EE0"/>
    <w:rsid w:val="24A96F54"/>
    <w:rsid w:val="28363B6E"/>
    <w:rsid w:val="28531629"/>
    <w:rsid w:val="2940493E"/>
    <w:rsid w:val="2BDB0938"/>
    <w:rsid w:val="2BED0A53"/>
    <w:rsid w:val="2C550700"/>
    <w:rsid w:val="2C9024A3"/>
    <w:rsid w:val="2DE7759F"/>
    <w:rsid w:val="2F1403FE"/>
    <w:rsid w:val="31481D74"/>
    <w:rsid w:val="33067B3D"/>
    <w:rsid w:val="33764379"/>
    <w:rsid w:val="33D04B10"/>
    <w:rsid w:val="361B61C7"/>
    <w:rsid w:val="36AA6CD3"/>
    <w:rsid w:val="36C50230"/>
    <w:rsid w:val="378640E1"/>
    <w:rsid w:val="3A512225"/>
    <w:rsid w:val="3B797920"/>
    <w:rsid w:val="3D0A4BEF"/>
    <w:rsid w:val="3ECA4CD4"/>
    <w:rsid w:val="40475A64"/>
    <w:rsid w:val="42CD2946"/>
    <w:rsid w:val="43A01E09"/>
    <w:rsid w:val="44586DC0"/>
    <w:rsid w:val="44D1659A"/>
    <w:rsid w:val="44D66362"/>
    <w:rsid w:val="45631EB2"/>
    <w:rsid w:val="459E6DD3"/>
    <w:rsid w:val="45C97345"/>
    <w:rsid w:val="46FC37FA"/>
    <w:rsid w:val="479E0D55"/>
    <w:rsid w:val="48805DD2"/>
    <w:rsid w:val="49115557"/>
    <w:rsid w:val="49C57CC7"/>
    <w:rsid w:val="4AFE195C"/>
    <w:rsid w:val="4B304B48"/>
    <w:rsid w:val="4B5562A0"/>
    <w:rsid w:val="4BB9615E"/>
    <w:rsid w:val="4BC323F1"/>
    <w:rsid w:val="4C9B5A25"/>
    <w:rsid w:val="4CB16E35"/>
    <w:rsid w:val="4D2F6550"/>
    <w:rsid w:val="4EE57FD2"/>
    <w:rsid w:val="4EF47490"/>
    <w:rsid w:val="4F643538"/>
    <w:rsid w:val="50654F10"/>
    <w:rsid w:val="510D7238"/>
    <w:rsid w:val="518508DD"/>
    <w:rsid w:val="52732B71"/>
    <w:rsid w:val="532E3A5B"/>
    <w:rsid w:val="5B0203A0"/>
    <w:rsid w:val="5B264CA7"/>
    <w:rsid w:val="5BF35373"/>
    <w:rsid w:val="5C2A4495"/>
    <w:rsid w:val="5E570D16"/>
    <w:rsid w:val="607A7AEC"/>
    <w:rsid w:val="60FD15F7"/>
    <w:rsid w:val="6189617B"/>
    <w:rsid w:val="619C7C5C"/>
    <w:rsid w:val="622163B3"/>
    <w:rsid w:val="629D4E29"/>
    <w:rsid w:val="62C531E2"/>
    <w:rsid w:val="634E6D48"/>
    <w:rsid w:val="63A75247"/>
    <w:rsid w:val="63C35974"/>
    <w:rsid w:val="63E1229E"/>
    <w:rsid w:val="649B41FB"/>
    <w:rsid w:val="6655487D"/>
    <w:rsid w:val="667473F9"/>
    <w:rsid w:val="66AC17A4"/>
    <w:rsid w:val="692C7B17"/>
    <w:rsid w:val="6A00000E"/>
    <w:rsid w:val="6A7A5576"/>
    <w:rsid w:val="6CDE6EEF"/>
    <w:rsid w:val="6D306DE5"/>
    <w:rsid w:val="6D535020"/>
    <w:rsid w:val="6D631F76"/>
    <w:rsid w:val="6E0005AE"/>
    <w:rsid w:val="6ED3511D"/>
    <w:rsid w:val="6FB849AC"/>
    <w:rsid w:val="70E4517B"/>
    <w:rsid w:val="71034E99"/>
    <w:rsid w:val="72110E28"/>
    <w:rsid w:val="74337D60"/>
    <w:rsid w:val="74A44FDB"/>
    <w:rsid w:val="75222174"/>
    <w:rsid w:val="75856B41"/>
    <w:rsid w:val="76C25DE2"/>
    <w:rsid w:val="77BC475C"/>
    <w:rsid w:val="77D53A70"/>
    <w:rsid w:val="781F4CEB"/>
    <w:rsid w:val="79DF4732"/>
    <w:rsid w:val="7A0E5AF7"/>
    <w:rsid w:val="7BFC5A6F"/>
    <w:rsid w:val="7C896BD7"/>
    <w:rsid w:val="7CCD4AFB"/>
    <w:rsid w:val="7D2012E9"/>
    <w:rsid w:val="7D2423F5"/>
    <w:rsid w:val="7F5B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eastAsia="仿宋"/>
      <w:sz w:val="32"/>
    </w:rPr>
  </w:style>
  <w:style w:type="paragraph" w:styleId="3">
    <w:name w:val="Body Text Indent"/>
    <w:basedOn w:val="1"/>
    <w:qFormat/>
    <w:uiPriority w:val="0"/>
    <w:pPr>
      <w:spacing w:after="120"/>
      <w:ind w:left="420" w:leftChars="200"/>
    </w:pPr>
  </w:style>
  <w:style w:type="paragraph" w:styleId="4">
    <w:name w:val="annotation text"/>
    <w:basedOn w:val="1"/>
    <w:link w:val="21"/>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4"/>
    <w:next w:val="4"/>
    <w:link w:val="22"/>
    <w:qFormat/>
    <w:uiPriority w:val="0"/>
    <w:rPr>
      <w:b/>
      <w:bCs/>
    </w:rPr>
  </w:style>
  <w:style w:type="character" w:styleId="13">
    <w:name w:val="Hyperlink"/>
    <w:basedOn w:val="12"/>
    <w:unhideWhenUsed/>
    <w:uiPriority w:val="99"/>
    <w:rPr>
      <w:color w:val="0000FF"/>
      <w:u w:val="single"/>
    </w:rPr>
  </w:style>
  <w:style w:type="character" w:styleId="14">
    <w:name w:val="annotation reference"/>
    <w:basedOn w:val="12"/>
    <w:qFormat/>
    <w:uiPriority w:val="0"/>
    <w:rPr>
      <w:sz w:val="21"/>
      <w:szCs w:val="21"/>
    </w:rPr>
  </w:style>
  <w:style w:type="paragraph" w:customStyle="1" w:styleId="15">
    <w:name w:val="列出段落2"/>
    <w:basedOn w:val="1"/>
    <w:qFormat/>
    <w:uiPriority w:val="34"/>
    <w:pPr>
      <w:ind w:firstLine="420" w:firstLineChars="200"/>
    </w:pPr>
  </w:style>
  <w:style w:type="character" w:customStyle="1" w:styleId="16">
    <w:name w:val="批注框文本 字符"/>
    <w:basedOn w:val="12"/>
    <w:link w:val="5"/>
    <w:qFormat/>
    <w:uiPriority w:val="0"/>
    <w:rPr>
      <w:rFonts w:ascii="Calibri" w:hAnsi="Calibri" w:eastAsia="宋体" w:cs="Times New Roman"/>
      <w:kern w:val="2"/>
      <w:sz w:val="18"/>
      <w:szCs w:val="18"/>
    </w:rPr>
  </w:style>
  <w:style w:type="paragraph" w:styleId="17">
    <w:name w:val="List Paragraph"/>
    <w:basedOn w:val="1"/>
    <w:qFormat/>
    <w:uiPriority w:val="34"/>
    <w:pPr>
      <w:ind w:firstLine="420" w:firstLineChars="200"/>
    </w:pPr>
    <w:rPr>
      <w:szCs w:val="22"/>
    </w:rPr>
  </w:style>
  <w:style w:type="character" w:customStyle="1" w:styleId="18">
    <w:name w:val="页眉 字符"/>
    <w:basedOn w:val="12"/>
    <w:link w:val="7"/>
    <w:qFormat/>
    <w:uiPriority w:val="0"/>
    <w:rPr>
      <w:rFonts w:ascii="Calibri" w:hAnsi="Calibri" w:eastAsia="宋体" w:cs="Times New Roman"/>
      <w:kern w:val="2"/>
      <w:sz w:val="18"/>
      <w:szCs w:val="18"/>
    </w:rPr>
  </w:style>
  <w:style w:type="character" w:customStyle="1" w:styleId="19">
    <w:name w:val="页脚 字符"/>
    <w:basedOn w:val="12"/>
    <w:link w:val="6"/>
    <w:qFormat/>
    <w:uiPriority w:val="99"/>
    <w:rPr>
      <w:rFonts w:ascii="Calibri" w:hAnsi="Calibri" w:eastAsia="宋体" w:cs="Times New Roman"/>
      <w:kern w:val="2"/>
      <w:sz w:val="18"/>
      <w:szCs w:val="18"/>
    </w:rPr>
  </w:style>
  <w:style w:type="character" w:customStyle="1" w:styleId="20">
    <w:name w:val="副标题 字符"/>
    <w:basedOn w:val="12"/>
    <w:link w:val="8"/>
    <w:qFormat/>
    <w:uiPriority w:val="0"/>
    <w:rPr>
      <w:rFonts w:ascii="Times New Roman" w:hAnsi="Times New Roman" w:eastAsia="黑体"/>
      <w:bCs/>
      <w:kern w:val="28"/>
      <w:sz w:val="32"/>
      <w:szCs w:val="32"/>
    </w:rPr>
  </w:style>
  <w:style w:type="character" w:customStyle="1" w:styleId="21">
    <w:name w:val="批注文字 字符"/>
    <w:basedOn w:val="12"/>
    <w:link w:val="4"/>
    <w:qFormat/>
    <w:uiPriority w:val="0"/>
    <w:rPr>
      <w:rFonts w:ascii="Calibri" w:hAnsi="Calibri" w:eastAsia="宋体" w:cs="Times New Roman"/>
      <w:kern w:val="2"/>
      <w:sz w:val="21"/>
      <w:szCs w:val="24"/>
    </w:rPr>
  </w:style>
  <w:style w:type="character" w:customStyle="1" w:styleId="22">
    <w:name w:val="批注主题 字符"/>
    <w:basedOn w:val="21"/>
    <w:link w:val="10"/>
    <w:qFormat/>
    <w:uiPriority w:val="0"/>
    <w:rPr>
      <w:rFonts w:ascii="Calibri" w:hAnsi="Calibri" w:eastAsia="宋体" w:cs="Times New Roman"/>
      <w:b/>
      <w:bCs/>
      <w:kern w:val="2"/>
      <w:sz w:val="21"/>
      <w:szCs w:val="24"/>
    </w:rPr>
  </w:style>
  <w:style w:type="paragraph" w:customStyle="1" w:styleId="23">
    <w:name w:val="列出段落1"/>
    <w:basedOn w:val="1"/>
    <w:qFormat/>
    <w:uiPriority w:val="34"/>
    <w:pPr>
      <w:ind w:firstLine="420" w:firstLineChars="200"/>
    </w:pPr>
    <w:rPr>
      <w:szCs w:val="22"/>
    </w:rPr>
  </w:style>
  <w:style w:type="character" w:customStyle="1" w:styleId="24">
    <w:name w:val="text_cg_lq"/>
    <w:basedOn w:val="1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324</Words>
  <Characters>1848</Characters>
  <Lines>15</Lines>
  <Paragraphs>4</Paragraphs>
  <TotalTime>5</TotalTime>
  <ScaleCrop>false</ScaleCrop>
  <LinksUpToDate>false</LinksUpToDate>
  <CharactersWithSpaces>2168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Administrator</cp:lastModifiedBy>
  <dcterms:modified xsi:type="dcterms:W3CDTF">2023-11-29T08:45:29Z</dcterms:modified>
  <dc:title>附件1</dc:title>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BFD02D606F7B421BA16D13BA0ED4F7A7</vt:lpwstr>
  </property>
</Properties>
</file>