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方正黑体_GBK" w:hAnsi="方正黑体_GBK" w:eastAsia="方正黑体_GBK" w:cs="方正黑体_GBK"/>
          <w:spacing w:val="-11"/>
          <w:sz w:val="32"/>
          <w:szCs w:val="32"/>
          <w:lang w:val="en-US" w:eastAsia="zh-CN"/>
        </w:rPr>
      </w:pPr>
      <w:r>
        <w:rPr>
          <w:rFonts w:hint="eastAsia" w:ascii="方正黑体_GBK" w:hAnsi="方正黑体_GBK" w:eastAsia="方正黑体_GBK" w:cs="方正黑体_GBK"/>
          <w:spacing w:val="-11"/>
          <w:sz w:val="32"/>
          <w:szCs w:val="32"/>
          <w:lang w:eastAsia="zh-CN"/>
        </w:rPr>
        <w:t>附件</w:t>
      </w:r>
      <w:r>
        <w:rPr>
          <w:rFonts w:hint="eastAsia" w:ascii="方正黑体_GBK" w:hAnsi="方正黑体_GBK" w:eastAsia="方正黑体_GBK" w:cs="方正黑体_GBK"/>
          <w:spacing w:val="-11"/>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_GBK" w:cs="宋体"/>
          <w:spacing w:val="-11"/>
          <w:sz w:val="44"/>
          <w:szCs w:val="44"/>
        </w:rPr>
      </w:pPr>
      <w:r>
        <w:rPr>
          <w:rFonts w:hint="eastAsia" w:ascii="宋体" w:hAnsi="宋体" w:eastAsia="方正小标宋_GBK" w:cs="宋体"/>
          <w:spacing w:val="-11"/>
          <w:sz w:val="44"/>
          <w:szCs w:val="44"/>
        </w:rPr>
        <w:t>部分不</w:t>
      </w:r>
      <w:r>
        <w:rPr>
          <w:rFonts w:hint="eastAsia" w:ascii="宋体" w:hAnsi="宋体" w:eastAsia="方正小标宋_GBK" w:cs="宋体"/>
          <w:spacing w:val="-11"/>
          <w:sz w:val="44"/>
          <w:szCs w:val="44"/>
          <w:highlight w:val="none"/>
        </w:rPr>
        <w:t>合格检</w:t>
      </w:r>
      <w:r>
        <w:rPr>
          <w:rFonts w:hint="eastAsia" w:ascii="宋体" w:hAnsi="宋体" w:eastAsia="方正小标宋_GBK" w:cs="宋体"/>
          <w:spacing w:val="-11"/>
          <w:sz w:val="44"/>
          <w:szCs w:val="44"/>
        </w:rPr>
        <w:t>验项目小知识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_GBK" w:cs="宋体"/>
          <w:spacing w:val="-11"/>
          <w:sz w:val="44"/>
          <w:szCs w:val="44"/>
        </w:rPr>
      </w:pPr>
    </w:p>
    <w:p>
      <w:pPr>
        <w:pStyle w:val="2"/>
        <w:rPr>
          <w:rFonts w:hint="eastAsia" w:ascii="宋体" w:hAnsi="宋体" w:eastAsia="方正黑体_GBK" w:cs="宋体"/>
          <w:color w:val="auto"/>
          <w:spacing w:val="-11"/>
          <w:kern w:val="2"/>
          <w:sz w:val="32"/>
          <w:szCs w:val="32"/>
          <w:lang w:val="en-US" w:eastAsia="zh-CN" w:bidi="ar-SA"/>
        </w:rPr>
      </w:pPr>
      <w:r>
        <w:rPr>
          <w:rFonts w:hint="eastAsia" w:ascii="宋体" w:hAnsi="宋体" w:eastAsia="方正黑体_GBK" w:cs="宋体"/>
          <w:color w:val="auto"/>
          <w:spacing w:val="-11"/>
          <w:kern w:val="2"/>
          <w:sz w:val="32"/>
          <w:szCs w:val="32"/>
          <w:lang w:val="en-US" w:eastAsia="zh-CN" w:bidi="ar-SA"/>
        </w:rPr>
        <w:t>一、噻虫胺</w:t>
      </w:r>
    </w:p>
    <w:p>
      <w:pPr>
        <w:spacing w:line="594" w:lineRule="exact"/>
        <w:ind w:firstLine="640" w:firstLineChars="200"/>
        <w:rPr>
          <w:rFonts w:hint="eastAsia" w:ascii="仿宋" w:hAnsi="仿宋" w:eastAsia="仿宋" w:cs="仿宋"/>
          <w:color w:val="auto"/>
          <w:spacing w:val="-11"/>
          <w:kern w:val="2"/>
          <w:sz w:val="32"/>
          <w:szCs w:val="32"/>
          <w:lang w:val="en-US" w:eastAsia="zh-CN" w:bidi="ar-SA"/>
        </w:rPr>
      </w:pPr>
      <w:r>
        <w:rPr>
          <w:rFonts w:hint="eastAsia" w:ascii="仿宋" w:hAnsi="仿宋" w:eastAsia="仿宋" w:cs="仿宋"/>
          <w:color w:val="auto"/>
          <w:kern w:val="2"/>
          <w:sz w:val="32"/>
          <w:szCs w:val="32"/>
          <w:highlight w:val="none"/>
          <w:lang w:val="en-US" w:eastAsia="zh-CN" w:bidi="ar-SA"/>
        </w:rPr>
        <w:t>噻虫胺（</w:t>
      </w:r>
      <w:r>
        <w:rPr>
          <w:rFonts w:hint="default" w:ascii="仿宋" w:hAnsi="仿宋" w:eastAsia="仿宋" w:cs="仿宋"/>
          <w:color w:val="auto"/>
          <w:kern w:val="2"/>
          <w:sz w:val="32"/>
          <w:szCs w:val="32"/>
          <w:highlight w:val="none"/>
          <w:lang w:val="en-US" w:eastAsia="zh-CN" w:bidi="ar-SA"/>
        </w:rPr>
        <w:t>clothianidin</w:t>
      </w:r>
      <w:r>
        <w:rPr>
          <w:rFonts w:hint="eastAsia" w:ascii="仿宋" w:hAnsi="仿宋" w:eastAsia="仿宋" w:cs="仿宋"/>
          <w:color w:val="auto"/>
          <w:kern w:val="2"/>
          <w:sz w:val="32"/>
          <w:szCs w:val="32"/>
          <w:highlight w:val="none"/>
          <w:lang w:val="en-US" w:eastAsia="zh-CN" w:bidi="ar-SA"/>
        </w:rPr>
        <w:t xml:space="preserve">），烟碱类杀虫剂，具有触杀、胃毒作用，具有根内吸活性和层间传导性。土壤处理、叶面喷施和种子处理，防治水稻、玉米、油菜、果树和蔬菜、柑橘的刺吸式和咀嚼式害虫，如飞虱、椿象、蚜虫和烟粉虱。雌雄大鼠急性经口 </w:t>
      </w:r>
      <w:r>
        <w:rPr>
          <w:rFonts w:hint="default" w:ascii="仿宋" w:hAnsi="仿宋" w:eastAsia="仿宋" w:cs="仿宋"/>
          <w:color w:val="auto"/>
          <w:kern w:val="2"/>
          <w:sz w:val="32"/>
          <w:szCs w:val="32"/>
          <w:highlight w:val="none"/>
          <w:lang w:val="en-US" w:eastAsia="zh-CN" w:bidi="ar-SA"/>
        </w:rPr>
        <w:t>LD50&gt; 5000mg/kg</w:t>
      </w:r>
      <w:r>
        <w:rPr>
          <w:rFonts w:hint="eastAsia" w:ascii="仿宋" w:hAnsi="仿宋" w:eastAsia="仿宋" w:cs="仿宋"/>
          <w:color w:val="auto"/>
          <w:kern w:val="2"/>
          <w:sz w:val="32"/>
          <w:szCs w:val="32"/>
          <w:highlight w:val="none"/>
          <w:lang w:val="en-US" w:eastAsia="zh-CN" w:bidi="ar-SA"/>
        </w:rPr>
        <w:t>，急性毒性分级为微毒。急性中毒可出现恶心、呕吐、头痛、乏力、躁动、抽搐等。食用食品一般不会导致噻虫胺的急性中毒，但长期食用噻虫胺超标的食品，对人体健康也有一定影响。</w:t>
      </w:r>
    </w:p>
    <w:p>
      <w:pPr>
        <w:pStyle w:val="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噻虫胺在香蕉的最大残留限量为0.02mg/kg。</w:t>
      </w:r>
      <w:bookmarkStart w:id="0" w:name="_GoBack"/>
      <w:bookmarkEnd w:id="0"/>
      <w:r>
        <w:rPr>
          <w:rFonts w:hint="eastAsia" w:ascii="仿宋" w:hAnsi="仿宋" w:eastAsia="仿宋" w:cs="仿宋"/>
          <w:color w:val="auto"/>
          <w:kern w:val="2"/>
          <w:sz w:val="32"/>
          <w:szCs w:val="32"/>
          <w:highlight w:val="none"/>
          <w:lang w:val="en-US" w:eastAsia="zh-CN" w:bidi="ar-SA"/>
        </w:rPr>
        <w:t>噻虫胺残留超标的原因可能是农产品种植者为加强防虫效果超量使用农药，也可能是种植户未严格按照农药安全间隔期，提前采收农作物。</w:t>
      </w:r>
    </w:p>
    <w:p>
      <w:pPr>
        <w:pStyle w:val="2"/>
        <w:numPr>
          <w:ilvl w:val="0"/>
          <w:numId w:val="0"/>
        </w:numPr>
        <w:ind w:firstLine="596" w:firstLineChars="200"/>
        <w:rPr>
          <w:rFonts w:hint="eastAsia" w:ascii="宋体" w:hAnsi="宋体" w:eastAsia="方正黑体_GBK" w:cs="宋体"/>
          <w:color w:val="auto"/>
          <w:spacing w:val="-11"/>
          <w:kern w:val="2"/>
          <w:sz w:val="32"/>
          <w:szCs w:val="32"/>
          <w:lang w:val="en-US" w:eastAsia="zh-CN" w:bidi="ar-SA"/>
        </w:rPr>
      </w:pPr>
      <w:r>
        <w:rPr>
          <w:rFonts w:hint="eastAsia" w:ascii="宋体" w:hAnsi="宋体" w:eastAsia="方正黑体_GBK" w:cs="宋体"/>
          <w:color w:val="auto"/>
          <w:spacing w:val="-11"/>
          <w:kern w:val="2"/>
          <w:sz w:val="32"/>
          <w:szCs w:val="32"/>
          <w:lang w:val="en-US" w:eastAsia="zh-CN" w:bidi="ar-SA"/>
        </w:rPr>
        <w:t>二、噻虫嗪</w:t>
      </w:r>
    </w:p>
    <w:p>
      <w:pPr>
        <w:keepNext w:val="0"/>
        <w:keepLines w:val="0"/>
        <w:widowControl/>
        <w:suppressLineNumbers w:val="0"/>
        <w:ind w:firstLine="640"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噻虫嗪（</w:t>
      </w:r>
      <w:r>
        <w:rPr>
          <w:rFonts w:hint="default" w:ascii="仿宋" w:hAnsi="仿宋" w:eastAsia="仿宋" w:cs="仿宋"/>
          <w:color w:val="auto"/>
          <w:kern w:val="2"/>
          <w:sz w:val="32"/>
          <w:szCs w:val="32"/>
          <w:highlight w:val="none"/>
          <w:lang w:val="en-US" w:eastAsia="zh-CN" w:bidi="ar-SA"/>
        </w:rPr>
        <w:t>thiamethoxam</w:t>
      </w:r>
      <w:r>
        <w:rPr>
          <w:rFonts w:hint="eastAsia" w:ascii="仿宋" w:hAnsi="仿宋" w:eastAsia="仿宋" w:cs="仿宋"/>
          <w:color w:val="auto"/>
          <w:kern w:val="2"/>
          <w:sz w:val="32"/>
          <w:szCs w:val="32"/>
          <w:highlight w:val="none"/>
          <w:lang w:val="en-US" w:eastAsia="zh-CN" w:bidi="ar-SA"/>
        </w:rPr>
        <w:t xml:space="preserve">），具有触杀、胃毒和内吸作用的杀虫剂。能被迅速吸收到植物体内，并在木质部向顶传导。防治蚜虫、粉虱、蓟马、稻飞虱、稻褐蝽、粉蚧、蛴螬、科罗拉多马铃薯甲虫、跳甲、金针虫、步行虫、潜叶虫和一些鳞翅目害虫。可用于茎叶和土壤处理的主要农作物有芸薹属作物、叶菜类和果菜类、马铃薯、水稻、棉花、落叶果树、咖啡、柑橘、烟草和大豆；种子处理主要用于玉米、高粱、谷物、甜菜、油料油菜、棉花、 </w:t>
      </w:r>
    </w:p>
    <w:p>
      <w:pPr>
        <w:keepNext w:val="0"/>
        <w:keepLines w:val="0"/>
        <w:widowControl/>
        <w:suppressLineNumbers w:val="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豌豆、蚕豆、向日葵、水稻和马铃薯。也可用于动物和公共卫生，防治蝇类（如家蝇、厕蝇和果蝇）。大鼠急性经口 </w:t>
      </w:r>
      <w:r>
        <w:rPr>
          <w:rFonts w:hint="default" w:ascii="仿宋" w:hAnsi="仿宋" w:eastAsia="仿宋" w:cs="仿宋"/>
          <w:color w:val="auto"/>
          <w:kern w:val="2"/>
          <w:sz w:val="32"/>
          <w:szCs w:val="32"/>
          <w:highlight w:val="none"/>
          <w:lang w:val="en-US" w:eastAsia="zh-CN" w:bidi="ar-SA"/>
        </w:rPr>
        <w:t xml:space="preserve">LD50 </w:t>
      </w:r>
      <w:r>
        <w:rPr>
          <w:rFonts w:hint="eastAsia" w:ascii="仿宋" w:hAnsi="仿宋" w:eastAsia="仿宋" w:cs="仿宋"/>
          <w:color w:val="auto"/>
          <w:kern w:val="2"/>
          <w:sz w:val="32"/>
          <w:szCs w:val="32"/>
          <w:highlight w:val="none"/>
          <w:lang w:val="en-US" w:eastAsia="zh-CN" w:bidi="ar-SA"/>
        </w:rPr>
        <w:t xml:space="preserve">为 </w:t>
      </w:r>
      <w:r>
        <w:rPr>
          <w:rFonts w:hint="default" w:ascii="仿宋" w:hAnsi="仿宋" w:eastAsia="仿宋" w:cs="仿宋"/>
          <w:color w:val="auto"/>
          <w:kern w:val="2"/>
          <w:sz w:val="32"/>
          <w:szCs w:val="32"/>
          <w:highlight w:val="none"/>
          <w:lang w:val="en-US" w:eastAsia="zh-CN" w:bidi="ar-SA"/>
        </w:rPr>
        <w:t>1563mg/kg</w:t>
      </w:r>
      <w:r>
        <w:rPr>
          <w:rFonts w:hint="eastAsia" w:ascii="仿宋" w:hAnsi="仿宋" w:eastAsia="仿宋" w:cs="仿宋"/>
          <w:color w:val="auto"/>
          <w:kern w:val="2"/>
          <w:sz w:val="32"/>
          <w:szCs w:val="32"/>
          <w:highlight w:val="none"/>
          <w:lang w:val="en-US" w:eastAsia="zh-CN" w:bidi="ar-SA"/>
        </w:rPr>
        <w:t xml:space="preserve">，急性毒性分级为低毒级。烟碱类杀虫剂。中毒可出现恶心、呕吐、头痛、乏力、心跳过速等。食用食品一般不会导致噻虫嗪的急性中毒，但长期食用噻虫嗪超标的食品，对人体健康也有一定影响。 </w:t>
      </w:r>
    </w:p>
    <w:p>
      <w:pPr>
        <w:pStyle w:val="2"/>
        <w:numPr>
          <w:ilvl w:val="0"/>
          <w:numId w:val="0"/>
        </w:numPr>
        <w:ind w:firstLine="640" w:firstLineChars="200"/>
        <w:rPr>
          <w:rFonts w:hint="eastAsia" w:ascii="宋体" w:hAnsi="宋体" w:eastAsia="方正黑体_GBK" w:cs="宋体"/>
          <w:color w:val="auto"/>
          <w:spacing w:val="-11"/>
          <w:kern w:val="2"/>
          <w:sz w:val="32"/>
          <w:szCs w:val="32"/>
          <w:lang w:val="en-US" w:eastAsia="zh-CN" w:bidi="ar-SA"/>
        </w:rPr>
      </w:pPr>
      <w:r>
        <w:rPr>
          <w:rFonts w:hint="eastAsia" w:ascii="仿宋" w:hAnsi="仿宋" w:eastAsia="仿宋" w:cs="仿宋"/>
          <w:color w:val="auto"/>
          <w:kern w:val="2"/>
          <w:sz w:val="32"/>
          <w:szCs w:val="32"/>
          <w:highlight w:val="none"/>
          <w:lang w:val="en-US" w:eastAsia="zh-CN" w:bidi="ar-SA"/>
        </w:rPr>
        <w:t>噻虫嗪在香蕉的最大残留限量为0.02mg/kg。噻虫嗪残留超标的原因可能是农产品种植者为加强防虫效果超量使用农药，也可能是种植户未严格按照农药安全间隔期，提前采收农作物。</w:t>
      </w:r>
    </w:p>
    <w:p>
      <w:pPr>
        <w:pStyle w:val="2"/>
        <w:numPr>
          <w:ilvl w:val="0"/>
          <w:numId w:val="0"/>
        </w:numPr>
        <w:ind w:firstLine="596" w:firstLineChars="200"/>
        <w:rPr>
          <w:rFonts w:hint="eastAsia" w:ascii="宋体" w:hAnsi="宋体" w:eastAsia="方正黑体_GBK" w:cs="宋体"/>
          <w:color w:val="auto"/>
          <w:spacing w:val="-11"/>
          <w:kern w:val="2"/>
          <w:sz w:val="32"/>
          <w:szCs w:val="32"/>
          <w:lang w:val="en-US" w:eastAsia="zh-CN" w:bidi="ar-SA"/>
        </w:rPr>
      </w:pPr>
      <w:r>
        <w:rPr>
          <w:rFonts w:hint="eastAsia" w:ascii="宋体" w:hAnsi="宋体" w:eastAsia="方正黑体_GBK" w:cs="宋体"/>
          <w:color w:val="auto"/>
          <w:spacing w:val="-11"/>
          <w:kern w:val="2"/>
          <w:sz w:val="32"/>
          <w:szCs w:val="32"/>
          <w:lang w:val="en-US" w:eastAsia="zh-CN" w:bidi="ar-SA"/>
        </w:rPr>
        <w:t>三、</w:t>
      </w:r>
      <w:r>
        <w:rPr>
          <w:rFonts w:hint="default" w:ascii="宋体" w:hAnsi="宋体" w:eastAsia="方正黑体_GBK" w:cs="宋体"/>
          <w:color w:val="auto"/>
          <w:spacing w:val="-11"/>
          <w:kern w:val="2"/>
          <w:sz w:val="32"/>
          <w:szCs w:val="32"/>
          <w:lang w:val="en-US" w:eastAsia="zh-CN" w:bidi="ar-SA"/>
        </w:rPr>
        <w:t>毒死蜱</w:t>
      </w:r>
    </w:p>
    <w:p>
      <w:pPr>
        <w:pStyle w:val="2"/>
        <w:numPr>
          <w:ilvl w:val="0"/>
          <w:numId w:val="0"/>
        </w:numPr>
        <w:ind w:firstLine="640" w:firstLineChars="200"/>
        <w:rPr>
          <w:rFonts w:hint="eastAsia"/>
          <w:lang w:val="en-US" w:eastAsia="zh-CN"/>
        </w:rPr>
      </w:pPr>
      <w:r>
        <w:rPr>
          <w:rFonts w:hint="default"/>
          <w:lang w:val="en-US" w:eastAsia="zh-CN"/>
        </w:rPr>
        <w:t>毒死蜱（chlorpyrifos），又名氯吡硫磷，是一种硫代磷酯类有机磷杀虫、杀螨剂，具有良好的触杀、胃毒和熏蒸作用。毒死蜱对蜜蜂、鱼类等水生生物、家蚕有毒。大鼠急性经口毒性试验 LD 50 为 82mg/kg，急性毒性分级标准为中等毒，中毒机制为抑制乙酰胆碱酯酶活性，症状包括头痛、头昏、恶心、呕吐、出汗、流涎、肌肉震颤，甚至抽搐、痉挛，昏迷。相关研究未见遗传毒性和致癌性。少量的农药残留不会引起人体急性中毒，但长期食用毒死蜱超标的食品，对人体健康可能有一定影响。</w:t>
      </w:r>
    </w:p>
    <w:p>
      <w:pPr>
        <w:pStyle w:val="2"/>
        <w:numPr>
          <w:ilvl w:val="0"/>
          <w:numId w:val="0"/>
        </w:numPr>
        <w:ind w:firstLine="640" w:firstLineChars="200"/>
        <w:rPr>
          <w:rFonts w:hint="eastAsia"/>
          <w:lang w:val="en-US" w:eastAsia="zh-CN"/>
        </w:rPr>
      </w:pPr>
      <w:r>
        <w:rPr>
          <w:rFonts w:hint="eastAsia" w:ascii="仿宋" w:hAnsi="仿宋" w:eastAsia="仿宋" w:cs="仿宋"/>
          <w:color w:val="auto"/>
          <w:kern w:val="2"/>
          <w:sz w:val="32"/>
          <w:szCs w:val="32"/>
          <w:highlight w:val="none"/>
          <w:lang w:val="en-US" w:eastAsia="zh-CN" w:bidi="ar-SA"/>
        </w:rPr>
        <w:t>毒死蜱残留超标的原因可能是农产品种植者为加强防虫效果超量使用农药，也可能是种植户未严格按照农药安全间隔期，提前采收农作物。</w:t>
      </w:r>
    </w:p>
    <w:p>
      <w:pPr>
        <w:pStyle w:val="2"/>
        <w:numPr>
          <w:ilvl w:val="0"/>
          <w:numId w:val="0"/>
        </w:numPr>
        <w:ind w:firstLine="596" w:firstLineChars="200"/>
        <w:rPr>
          <w:rFonts w:hint="eastAsia" w:ascii="宋体" w:hAnsi="宋体" w:eastAsia="方正黑体_GBK" w:cs="宋体"/>
          <w:color w:val="auto"/>
          <w:spacing w:val="-11"/>
          <w:sz w:val="32"/>
          <w:szCs w:val="32"/>
          <w:lang w:val="en-US" w:eastAsia="zh-CN"/>
        </w:rPr>
      </w:pPr>
      <w:r>
        <w:rPr>
          <w:rFonts w:hint="eastAsia" w:ascii="宋体" w:hAnsi="宋体" w:eastAsia="方正黑体_GBK" w:cs="宋体"/>
          <w:color w:val="auto"/>
          <w:spacing w:val="-11"/>
          <w:sz w:val="32"/>
          <w:szCs w:val="32"/>
          <w:lang w:val="en-US" w:eastAsia="zh-CN"/>
        </w:rPr>
        <w:t>四、镉(以Cd计)</w:t>
      </w:r>
    </w:p>
    <w:p>
      <w:pPr>
        <w:spacing w:line="594"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镉（</w:t>
      </w:r>
      <w:r>
        <w:rPr>
          <w:rFonts w:hint="default" w:ascii="仿宋" w:hAnsi="仿宋" w:eastAsia="仿宋" w:cs="仿宋"/>
          <w:color w:val="auto"/>
          <w:kern w:val="2"/>
          <w:sz w:val="32"/>
          <w:szCs w:val="32"/>
          <w:highlight w:val="none"/>
          <w:lang w:val="en-US" w:eastAsia="zh-CN" w:bidi="ar-SA"/>
        </w:rPr>
        <w:t>cadmium</w:t>
      </w:r>
      <w:r>
        <w:rPr>
          <w:rFonts w:hint="eastAsia" w:ascii="仿宋" w:hAnsi="仿宋" w:eastAsia="仿宋" w:cs="仿宋"/>
          <w:color w:val="auto"/>
          <w:kern w:val="2"/>
          <w:sz w:val="32"/>
          <w:szCs w:val="32"/>
          <w:highlight w:val="none"/>
          <w:lang w:val="en-US" w:eastAsia="zh-CN" w:bidi="ar-SA"/>
        </w:rPr>
        <w:t xml:space="preserve">）是一种蓄积性的重金属元素，主要损害肾脏、骨骼和消化系统。人体通过食物摄人镉之后，大约 </w:t>
      </w:r>
      <w:r>
        <w:rPr>
          <w:rFonts w:hint="default" w:ascii="仿宋" w:hAnsi="仿宋" w:eastAsia="仿宋" w:cs="仿宋"/>
          <w:color w:val="auto"/>
          <w:kern w:val="2"/>
          <w:sz w:val="32"/>
          <w:szCs w:val="32"/>
          <w:highlight w:val="none"/>
          <w:lang w:val="en-US" w:eastAsia="zh-CN" w:bidi="ar-SA"/>
        </w:rPr>
        <w:t>50%</w:t>
      </w:r>
      <w:r>
        <w:rPr>
          <w:rFonts w:hint="eastAsia" w:ascii="仿宋" w:hAnsi="仿宋" w:eastAsia="仿宋" w:cs="仿宋"/>
          <w:color w:val="auto"/>
          <w:kern w:val="2"/>
          <w:sz w:val="32"/>
          <w:szCs w:val="32"/>
          <w:highlight w:val="none"/>
          <w:lang w:val="en-US" w:eastAsia="zh-CN" w:bidi="ar-SA"/>
        </w:rPr>
        <w:t>的镉都分布在肾脏中，</w:t>
      </w:r>
      <w:r>
        <w:rPr>
          <w:rFonts w:hint="default" w:ascii="仿宋" w:hAnsi="仿宋" w:eastAsia="仿宋" w:cs="仿宋"/>
          <w:color w:val="auto"/>
          <w:kern w:val="2"/>
          <w:sz w:val="32"/>
          <w:szCs w:val="32"/>
          <w:highlight w:val="none"/>
          <w:lang w:val="en-US" w:eastAsia="zh-CN" w:bidi="ar-SA"/>
        </w:rPr>
        <w:t>15%</w:t>
      </w:r>
      <w:r>
        <w:rPr>
          <w:rFonts w:hint="eastAsia" w:ascii="仿宋" w:hAnsi="仿宋" w:eastAsia="仿宋" w:cs="仿宋"/>
          <w:color w:val="auto"/>
          <w:kern w:val="2"/>
          <w:sz w:val="32"/>
          <w:szCs w:val="32"/>
          <w:highlight w:val="none"/>
          <w:lang w:val="en-US" w:eastAsia="zh-CN" w:bidi="ar-SA"/>
        </w:rPr>
        <w:t>分布在肝脏中，</w:t>
      </w:r>
      <w:r>
        <w:rPr>
          <w:rFonts w:hint="default" w:ascii="仿宋" w:hAnsi="仿宋" w:eastAsia="仿宋" w:cs="仿宋"/>
          <w:color w:val="auto"/>
          <w:kern w:val="2"/>
          <w:sz w:val="32"/>
          <w:szCs w:val="32"/>
          <w:highlight w:val="none"/>
          <w:lang w:val="en-US" w:eastAsia="zh-CN" w:bidi="ar-SA"/>
        </w:rPr>
        <w:t>20%</w:t>
      </w:r>
      <w:r>
        <w:rPr>
          <w:rFonts w:hint="eastAsia" w:ascii="仿宋" w:hAnsi="仿宋" w:eastAsia="仿宋" w:cs="仿宋"/>
          <w:color w:val="auto"/>
          <w:kern w:val="2"/>
          <w:sz w:val="32"/>
          <w:szCs w:val="32"/>
          <w:highlight w:val="none"/>
          <w:lang w:val="en-US" w:eastAsia="zh-CN" w:bidi="ar-SA"/>
        </w:rPr>
        <w:t>分布在肌肉中，而骨骼中镉的分布是极少量的。由于镉排泄缓慢，可对肾脏和肝脏造成巨大伤害，还可以造成骨质疏松和软化，日本因镉中毒出现过</w:t>
      </w:r>
      <w:r>
        <w:rPr>
          <w:rFonts w:hint="default"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痛痛病。此外，镉干扰膳食中铁的吸收和加速红细胞破坏，可引起贫血；甚至会侵害到免疫系统，继而引发肿瘤。儿童对镉暴露更敏感，长期低剂量镉暴露，不仅影响肾脏和骨骼的正常发育，还会影响免疫系统的正常功能与发育，并对高级神经活动如学习、记忆有损害作用。</w:t>
      </w:r>
    </w:p>
    <w:p>
      <w:pPr>
        <w:spacing w:line="594"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中国居民膳食镉暴露的主要来源是谷物和蔬菜，而肉类和水产品（包括海产品）是中国沿海几个地区人群镉污染的主要来源。造成镉污染的主要原因有：含镉的废水等污染农作物和饲料，对食品造成镉污染；玻璃、陶瓷类容器或食品包装材料中含有的镉迁移至食品中，造成食品的镉污染。 </w:t>
      </w:r>
    </w:p>
    <w:p>
      <w:pPr>
        <w:pStyle w:val="2"/>
        <w:rPr>
          <w:rFonts w:hint="default"/>
          <w:lang w:val="en-US" w:eastAsia="zh-CN"/>
        </w:rPr>
      </w:pPr>
      <w:r>
        <w:rPr>
          <w:rFonts w:hint="eastAsia" w:ascii="宋体" w:hAnsi="宋体" w:eastAsia="方正黑体_GBK" w:cs="宋体"/>
          <w:color w:val="auto"/>
          <w:spacing w:val="-11"/>
          <w:sz w:val="32"/>
          <w:szCs w:val="32"/>
          <w:lang w:val="en-US" w:eastAsia="zh-CN"/>
        </w:rPr>
        <w:t>五、恩诺沙星</w:t>
      </w:r>
    </w:p>
    <w:p>
      <w:pPr>
        <w:pStyle w:val="2"/>
        <w:ind w:left="0" w:leftChars="0" w:firstLine="640" w:firstLineChars="200"/>
        <w:rPr>
          <w:rFonts w:hint="eastAsia"/>
          <w:lang w:val="en-US" w:eastAsia="zh-CN"/>
        </w:rPr>
      </w:pPr>
      <w:r>
        <w:rPr>
          <w:rFonts w:hint="eastAsia"/>
          <w:lang w:val="en-US" w:eastAsia="zh-CN"/>
        </w:rPr>
        <w:t>恩诺沙星（enrofloxacin）属第三代喹诺酮类药。是一类人工合成的广谱抗菌药，用于治疗动物的皮肤感染、呼吸道感染等，是动物专属用药。大鼠急性经口毒性为实际无毒级，无遗传毒性、无致畸性和致癌性，主要引起耳廓软骨的变性性改变和睾丸毒性（精子形态学改变、生精小管萎缩等），并可造成雄性大鼠不育。</w:t>
      </w:r>
    </w:p>
    <w:p>
      <w:pPr>
        <w:pStyle w:val="2"/>
        <w:ind w:left="0" w:leftChars="0" w:firstLine="0" w:firstLineChars="0"/>
        <w:rPr>
          <w:rFonts w:hint="eastAsia"/>
          <w:lang w:val="en-US" w:eastAsia="zh-CN"/>
        </w:rPr>
      </w:pPr>
      <w:r>
        <w:rPr>
          <w:rFonts w:hint="eastAsia"/>
          <w:lang w:val="en-US" w:eastAsia="zh-CN"/>
        </w:rPr>
        <w:t>长期使用或者过度使用可能导致在人体中蓄积，进而对人体机能产生危害，还可能使人体产生耐药性菌株。</w:t>
      </w:r>
    </w:p>
    <w:p>
      <w:pPr>
        <w:pStyle w:val="2"/>
        <w:ind w:left="0" w:leftChars="0" w:firstLine="640" w:firstLineChars="200"/>
        <w:rPr>
          <w:rFonts w:hint="eastAsia"/>
          <w:lang w:val="en-US" w:eastAsia="zh-CN"/>
        </w:rPr>
      </w:pPr>
      <w:r>
        <w:rPr>
          <w:rFonts w:hint="eastAsia"/>
          <w:lang w:val="en-US" w:eastAsia="zh-CN"/>
        </w:rPr>
        <w:t>联合国粮农组织（FAO）和世界卫生组织食品添加剂联合专家委员会（JECFA）给出了恩诺沙星的日容许摄入量（ADI）的建议值为 0~2µg/kg bw（1998）。</w:t>
      </w:r>
    </w:p>
    <w:p>
      <w:pPr>
        <w:pStyle w:val="2"/>
        <w:rPr>
          <w:rFonts w:hint="eastAsia" w:ascii="宋体" w:hAnsi="宋体" w:eastAsia="方正黑体_GBK" w:cs="宋体"/>
          <w:color w:val="auto"/>
          <w:spacing w:val="-11"/>
          <w:sz w:val="32"/>
          <w:szCs w:val="32"/>
          <w:lang w:val="en-US" w:eastAsia="zh-CN"/>
        </w:rPr>
      </w:pPr>
      <w:r>
        <w:rPr>
          <w:rFonts w:hint="eastAsia" w:ascii="宋体" w:hAnsi="宋体" w:eastAsia="方正黑体_GBK" w:cs="宋体"/>
          <w:color w:val="auto"/>
          <w:spacing w:val="-11"/>
          <w:sz w:val="32"/>
          <w:szCs w:val="32"/>
          <w:lang w:val="en-US" w:eastAsia="zh-CN"/>
        </w:rPr>
        <w:t>六、地西泮</w:t>
      </w:r>
    </w:p>
    <w:p>
      <w:pPr>
        <w:pStyle w:val="2"/>
        <w:numPr>
          <w:ilvl w:val="0"/>
          <w:numId w:val="0"/>
        </w:numPr>
        <w:ind w:firstLine="640" w:firstLineChars="200"/>
        <w:rPr>
          <w:rFonts w:hint="default"/>
          <w:lang w:val="en-US" w:eastAsia="zh-CN"/>
        </w:rPr>
      </w:pPr>
      <w:r>
        <w:rPr>
          <w:rFonts w:hint="default"/>
          <w:lang w:val="en-US" w:eastAsia="zh-CN"/>
        </w:rPr>
        <w:t>地西泮（Diazepam），为苯二氮卓类镇静催眠药，分子式为 C 16 H 13 ClN 2 O，为白色或类白色的结晶性粉末；无臭；在丙酮或三氯甲烷中易溶，在乙醇中溶解，在水中几乎不溶；熔点为 130~134℃。临床上用于抗焦虑、镇静催眠、抗惊厥、抗癫痫及中枢性肌肉松弛作用。最常见的不良反应是嗜睡、头昏、乏力和记忆力下降，大剂量使用时偶见共济失调。与其他中枢抑制药合用时，中枢抑制作用增强，严重者可致死。长期应用可产生耐受性或依赖性，成瘾停用可出现反跳现象或戒断症状，表现为失眠、焦虑、兴奋、心动过速、呕吐、出汗及震颤，甚至惊厥。</w:t>
      </w:r>
    </w:p>
    <w:p>
      <w:pPr>
        <w:pStyle w:val="2"/>
        <w:numPr>
          <w:ilvl w:val="0"/>
          <w:numId w:val="0"/>
        </w:numPr>
        <w:ind w:firstLine="640" w:firstLineChars="200"/>
        <w:rPr>
          <w:rFonts w:hint="default"/>
          <w:lang w:val="en-US" w:eastAsia="zh-CN"/>
        </w:rPr>
      </w:pPr>
      <w:r>
        <w:rPr>
          <w:rFonts w:hint="default"/>
          <w:lang w:val="en-US" w:eastAsia="zh-CN"/>
        </w:rPr>
        <w:t>不合格的原因主要是个别不法商家在声称具有改善睡眠功能的保健品中非法添加地西泮，以增加疗效，由于添加剂量不确定性，消费者在不知情情况下使用，可能危害身体健康。</w:t>
      </w:r>
    </w:p>
    <w:p>
      <w:pPr>
        <w:pStyle w:val="2"/>
        <w:numPr>
          <w:ilvl w:val="0"/>
          <w:numId w:val="0"/>
        </w:numPr>
        <w:ind w:firstLine="640" w:firstLineChars="200"/>
        <w:rPr>
          <w:rFonts w:hint="default"/>
          <w:lang w:val="en-US" w:eastAsia="zh-CN"/>
        </w:rPr>
      </w:pPr>
      <w:r>
        <w:rPr>
          <w:rFonts w:hint="default"/>
          <w:lang w:val="en-US" w:eastAsia="zh-CN"/>
        </w:rPr>
        <w:t>根据《食品安全国家标准 保健食品》（GB 16740-2014）规定保健食品是不以治疗疾病为目的，并且对人体不产生任何急性、亚急性或慢性危害的食品；《中华人民共和国食品安全法》也规定―生产经营的食品中不得添加药品‖，因而地西泮属于非法添加物。2012年原国家食品药品监督管理局发布《保健食品中可能非法添加的物质名单（第一批）》，明确地西泮在声称改善睡眠功能产品的保健食品中属于非法添加物质。</w:t>
      </w:r>
    </w:p>
    <w:p>
      <w:pPr>
        <w:pStyle w:val="2"/>
        <w:numPr>
          <w:ilvl w:val="0"/>
          <w:numId w:val="0"/>
        </w:numPr>
        <w:ind w:firstLine="640" w:firstLineChars="200"/>
        <w:rPr>
          <w:rFonts w:hint="default"/>
          <w:lang w:val="en-US" w:eastAsia="zh-CN"/>
        </w:rPr>
      </w:pPr>
      <w:r>
        <w:rPr>
          <w:rFonts w:hint="default"/>
          <w:lang w:val="en-US" w:eastAsia="zh-CN"/>
        </w:rPr>
        <w:t>另外，2017 年中华人民共和国农业部公告第 235 号和《中华人民共和国国家标准 食品中兽药最大残留限量》（GB 31650-2019）中明确地西泮药物允许作食用动物的治疗用，但不得在动物性食品中检出。</w:t>
      </w:r>
    </w:p>
    <w:p>
      <w:pPr>
        <w:pStyle w:val="2"/>
        <w:rPr>
          <w:rFonts w:hint="eastAsia" w:ascii="宋体" w:hAnsi="宋体" w:eastAsia="方正黑体_GBK" w:cs="宋体"/>
          <w:color w:val="auto"/>
          <w:spacing w:val="-11"/>
          <w:sz w:val="32"/>
          <w:szCs w:val="32"/>
          <w:lang w:val="en-US" w:eastAsia="zh-CN"/>
        </w:rPr>
      </w:pPr>
      <w:r>
        <w:rPr>
          <w:rFonts w:hint="eastAsia" w:ascii="宋体" w:hAnsi="宋体" w:eastAsia="方正黑体_GBK" w:cs="宋体"/>
          <w:color w:val="auto"/>
          <w:spacing w:val="-11"/>
          <w:sz w:val="32"/>
          <w:szCs w:val="32"/>
          <w:lang w:val="en-US" w:eastAsia="zh-CN"/>
        </w:rPr>
        <w:t>七、甲氧苄啶</w:t>
      </w:r>
    </w:p>
    <w:p>
      <w:pPr>
        <w:pStyle w:val="2"/>
        <w:numPr>
          <w:ilvl w:val="0"/>
          <w:numId w:val="0"/>
        </w:numPr>
        <w:ind w:firstLine="640" w:firstLineChars="200"/>
        <w:rPr>
          <w:rFonts w:hint="default"/>
          <w:lang w:val="en-US" w:eastAsia="zh-CN"/>
        </w:rPr>
      </w:pPr>
      <w:r>
        <w:rPr>
          <w:rFonts w:hint="default"/>
          <w:lang w:val="en-US" w:eastAsia="zh-CN"/>
        </w:rPr>
        <w:t>甲氧苄啶（trimethoprim）是合成的抗菌药和磺胺增效药。具有抗菌谱广、性质稳定、体内分布广泛等优点。链球菌属含肺炎链球菌等革兰氏阳性菌以及大肠杆菌、沙门菌属、奇异变形杆菌、肺炎杆菌、痢疾杆菌、伤寒杆菌、百日咳杆菌等革兰氏阴性菌对甲氧苄啶敏感；此外，甲氧苄啶对疟原虫及某些真菌，如奴卡菌、组浆菌，酵母菌也有一定作用。动物产品的甲氧苄啶残留，一般不会导致对人体的急性毒性作用；长期大量摄入甲氧苄啶残留超标的食品，可能在人体内蓄积，导致胃肠道反应、皮肤过敏症状等。</w:t>
      </w:r>
    </w:p>
    <w:p>
      <w:pPr>
        <w:pStyle w:val="2"/>
        <w:numPr>
          <w:ilvl w:val="0"/>
          <w:numId w:val="0"/>
        </w:numPr>
        <w:ind w:firstLine="640" w:firstLineChars="200"/>
        <w:rPr>
          <w:rFonts w:hint="default"/>
          <w:lang w:val="en-US" w:eastAsia="zh-CN"/>
        </w:rPr>
      </w:pPr>
      <w:r>
        <w:rPr>
          <w:rFonts w:hint="default"/>
          <w:lang w:val="en-US" w:eastAsia="zh-CN"/>
        </w:rPr>
        <w:t>联合国粮农组织（FAO）和世界卫生组织食品添加剂联合专家委员会（JECFA）给出了甲氧苄啶的日容许摄入量（ADI）的建议值为 0~4.2μg/kg bw。</w:t>
      </w:r>
    </w:p>
    <w:p>
      <w:pPr>
        <w:pStyle w:val="2"/>
        <w:numPr>
          <w:ilvl w:val="0"/>
          <w:numId w:val="0"/>
        </w:numPr>
        <w:ind w:leftChars="200"/>
        <w:rPr>
          <w:rFonts w:hint="eastAsia"/>
          <w:lang w:val="en-US" w:eastAsia="zh-CN"/>
        </w:rPr>
      </w:pPr>
    </w:p>
    <w:p>
      <w:pPr>
        <w:pStyle w:val="2"/>
        <w:numPr>
          <w:ilvl w:val="0"/>
          <w:numId w:val="0"/>
        </w:numPr>
        <w:rPr>
          <w:rFonts w:hint="default"/>
          <w:lang w:val="en-US" w:eastAsia="zh-CN"/>
        </w:rPr>
      </w:pPr>
      <w:r>
        <w:rPr>
          <w:rFonts w:hint="eastAsia"/>
          <w:lang w:val="en-US" w:eastAsia="zh-CN"/>
        </w:rPr>
        <w:t xml:space="preserve">   </w:t>
      </w:r>
    </w:p>
    <w:p>
      <w:pPr>
        <w:pStyle w:val="2"/>
        <w:numPr>
          <w:ilvl w:val="0"/>
          <w:numId w:val="0"/>
        </w:numPr>
        <w:rPr>
          <w:rFonts w:hint="eastAsia"/>
          <w:lang w:val="en-US" w:eastAsia="zh-CN"/>
        </w:rPr>
      </w:pPr>
    </w:p>
    <w:p>
      <w:pPr>
        <w:keepNext w:val="0"/>
        <w:keepLines w:val="0"/>
        <w:widowControl/>
        <w:suppressLineNumbers w:val="0"/>
        <w:ind w:firstLine="596" w:firstLineChars="200"/>
        <w:jc w:val="left"/>
        <w:rPr>
          <w:rFonts w:hint="eastAsia" w:ascii="仿宋" w:hAnsi="仿宋" w:eastAsia="仿宋" w:cs="仿宋"/>
          <w:color w:val="auto"/>
          <w:spacing w:val="-11"/>
          <w:kern w:val="2"/>
          <w:sz w:val="32"/>
          <w:szCs w:val="32"/>
          <w:lang w:val="en-US" w:eastAsia="zh-CN" w:bidi="ar-SA"/>
        </w:rPr>
      </w:pPr>
      <w:r>
        <w:rPr>
          <w:rFonts w:hint="eastAsia" w:ascii="仿宋" w:hAnsi="仿宋" w:eastAsia="仿宋" w:cs="仿宋"/>
          <w:color w:val="auto"/>
          <w:spacing w:val="-11"/>
          <w:kern w:val="2"/>
          <w:sz w:val="32"/>
          <w:szCs w:val="32"/>
          <w:lang w:val="en-US" w:eastAsia="zh-CN" w:bidi="ar-SA"/>
        </w:rPr>
        <w:t xml:space="preserve"> </w:t>
      </w:r>
    </w:p>
    <w:p>
      <w:pPr>
        <w:pStyle w:val="2"/>
        <w:numPr>
          <w:ilvl w:val="0"/>
          <w:numId w:val="0"/>
        </w:numPr>
        <w:ind w:firstLine="596" w:firstLineChars="200"/>
        <w:rPr>
          <w:rFonts w:hint="default" w:ascii="仿宋" w:hAnsi="仿宋" w:eastAsia="仿宋" w:cs="仿宋"/>
          <w:color w:val="auto"/>
          <w:spacing w:val="-11"/>
          <w:kern w:val="2"/>
          <w:sz w:val="32"/>
          <w:szCs w:val="32"/>
          <w:lang w:val="en-US" w:eastAsia="zh-CN" w:bidi="ar-SA"/>
        </w:rPr>
      </w:pPr>
    </w:p>
    <w:sectPr>
      <w:footerReference r:id="rId3" w:type="default"/>
      <w:footerReference r:id="rId4" w:type="even"/>
      <w:pgSz w:w="11906" w:h="16838"/>
      <w:pgMar w:top="2098" w:right="141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B089B6AE-FA57-4D93-9CEA-D52F15D89167}"/>
  </w:font>
  <w:font w:name="方正小标宋_GBK">
    <w:panose1 w:val="03000509000000000000"/>
    <w:charset w:val="86"/>
    <w:family w:val="auto"/>
    <w:pitch w:val="default"/>
    <w:sig w:usb0="00000001" w:usb1="080E0000" w:usb2="00000000" w:usb3="00000000" w:csb0="00040000" w:csb1="00000000"/>
    <w:embedRegular r:id="rId2" w:fontKey="{96DC5038-1EBE-4134-98F0-7AF3EEA56E2C}"/>
  </w:font>
  <w:font w:name="方正黑体_GBK">
    <w:panose1 w:val="03000509000000000000"/>
    <w:charset w:val="86"/>
    <w:family w:val="auto"/>
    <w:pitch w:val="default"/>
    <w:sig w:usb0="00000001" w:usb1="080E0000" w:usb2="00000000" w:usb3="00000000" w:csb0="00040000" w:csb1="00000000"/>
    <w:embedRegular r:id="rId3" w:fontKey="{5C296FC7-11EB-4FB0-9534-0FD5916C19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827681"/>
      <w:docPartObj>
        <w:docPartGallery w:val="autotext"/>
      </w:docPartObj>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MGY2YTc5ZGUxYjRkYjY1NTE4MjhkMzhlNTRmNjgifQ=="/>
  </w:docVars>
  <w:rsids>
    <w:rsidRoot w:val="15B85137"/>
    <w:rsid w:val="000119D5"/>
    <w:rsid w:val="00013E30"/>
    <w:rsid w:val="000276F3"/>
    <w:rsid w:val="00045657"/>
    <w:rsid w:val="00063DA7"/>
    <w:rsid w:val="000868BD"/>
    <w:rsid w:val="0009071C"/>
    <w:rsid w:val="000C63B4"/>
    <w:rsid w:val="000D132D"/>
    <w:rsid w:val="000E0F61"/>
    <w:rsid w:val="000E639C"/>
    <w:rsid w:val="00101A1D"/>
    <w:rsid w:val="0010777E"/>
    <w:rsid w:val="00116CA2"/>
    <w:rsid w:val="00135634"/>
    <w:rsid w:val="00135A77"/>
    <w:rsid w:val="00142BDE"/>
    <w:rsid w:val="0015345E"/>
    <w:rsid w:val="00170041"/>
    <w:rsid w:val="0018028B"/>
    <w:rsid w:val="001B6492"/>
    <w:rsid w:val="00205007"/>
    <w:rsid w:val="00217ABC"/>
    <w:rsid w:val="00256527"/>
    <w:rsid w:val="00263FF9"/>
    <w:rsid w:val="00277D08"/>
    <w:rsid w:val="002805F4"/>
    <w:rsid w:val="002973CA"/>
    <w:rsid w:val="002B1D5C"/>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C53F6"/>
    <w:rsid w:val="004D036B"/>
    <w:rsid w:val="004D0CC7"/>
    <w:rsid w:val="004D4E94"/>
    <w:rsid w:val="00514B88"/>
    <w:rsid w:val="005216E2"/>
    <w:rsid w:val="00541843"/>
    <w:rsid w:val="00551758"/>
    <w:rsid w:val="00565D70"/>
    <w:rsid w:val="00576235"/>
    <w:rsid w:val="0057719D"/>
    <w:rsid w:val="00580AA7"/>
    <w:rsid w:val="00586FEC"/>
    <w:rsid w:val="005A6A35"/>
    <w:rsid w:val="005A758A"/>
    <w:rsid w:val="005C0139"/>
    <w:rsid w:val="005C2A8D"/>
    <w:rsid w:val="005C692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6297A"/>
    <w:rsid w:val="00766A6B"/>
    <w:rsid w:val="00771D1B"/>
    <w:rsid w:val="00786192"/>
    <w:rsid w:val="0079128E"/>
    <w:rsid w:val="007B44DC"/>
    <w:rsid w:val="007C2539"/>
    <w:rsid w:val="007C55DC"/>
    <w:rsid w:val="007D761E"/>
    <w:rsid w:val="00800E6D"/>
    <w:rsid w:val="00806AD3"/>
    <w:rsid w:val="00821EE7"/>
    <w:rsid w:val="00845504"/>
    <w:rsid w:val="00846448"/>
    <w:rsid w:val="00887F75"/>
    <w:rsid w:val="00897065"/>
    <w:rsid w:val="008A48FA"/>
    <w:rsid w:val="008A5021"/>
    <w:rsid w:val="008B15D7"/>
    <w:rsid w:val="008C1364"/>
    <w:rsid w:val="008C1784"/>
    <w:rsid w:val="008C6ED2"/>
    <w:rsid w:val="008E0081"/>
    <w:rsid w:val="008E32F5"/>
    <w:rsid w:val="008E5099"/>
    <w:rsid w:val="008F021C"/>
    <w:rsid w:val="00900777"/>
    <w:rsid w:val="0093073B"/>
    <w:rsid w:val="00960313"/>
    <w:rsid w:val="00965F07"/>
    <w:rsid w:val="00970BC3"/>
    <w:rsid w:val="00971CE9"/>
    <w:rsid w:val="00974858"/>
    <w:rsid w:val="00974E0A"/>
    <w:rsid w:val="009B222A"/>
    <w:rsid w:val="009B4783"/>
    <w:rsid w:val="009C1BB5"/>
    <w:rsid w:val="009C3466"/>
    <w:rsid w:val="009D1B09"/>
    <w:rsid w:val="009E7BB2"/>
    <w:rsid w:val="00A010B9"/>
    <w:rsid w:val="00A0353B"/>
    <w:rsid w:val="00A1474C"/>
    <w:rsid w:val="00A26906"/>
    <w:rsid w:val="00A4164C"/>
    <w:rsid w:val="00A636E2"/>
    <w:rsid w:val="00A8267D"/>
    <w:rsid w:val="00A91948"/>
    <w:rsid w:val="00A9326F"/>
    <w:rsid w:val="00A93A64"/>
    <w:rsid w:val="00AA1D13"/>
    <w:rsid w:val="00AA3B2A"/>
    <w:rsid w:val="00AA5C0A"/>
    <w:rsid w:val="00AC1A0F"/>
    <w:rsid w:val="00AD14F2"/>
    <w:rsid w:val="00AD27DE"/>
    <w:rsid w:val="00AD3EE2"/>
    <w:rsid w:val="00AE2315"/>
    <w:rsid w:val="00AF4A96"/>
    <w:rsid w:val="00B11ADD"/>
    <w:rsid w:val="00B9140D"/>
    <w:rsid w:val="00B935D9"/>
    <w:rsid w:val="00BA3536"/>
    <w:rsid w:val="00BB0DB0"/>
    <w:rsid w:val="00BC6D13"/>
    <w:rsid w:val="00BD226E"/>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3414"/>
    <w:rsid w:val="00E51E77"/>
    <w:rsid w:val="00E54A66"/>
    <w:rsid w:val="00E5774B"/>
    <w:rsid w:val="00E8121D"/>
    <w:rsid w:val="00E82C94"/>
    <w:rsid w:val="00EA77E3"/>
    <w:rsid w:val="00EC0211"/>
    <w:rsid w:val="00ED0256"/>
    <w:rsid w:val="00ED0DA7"/>
    <w:rsid w:val="00ED21A0"/>
    <w:rsid w:val="00EF6B02"/>
    <w:rsid w:val="00F05932"/>
    <w:rsid w:val="00F075AE"/>
    <w:rsid w:val="00F1347C"/>
    <w:rsid w:val="00F75612"/>
    <w:rsid w:val="00F80202"/>
    <w:rsid w:val="00F915D8"/>
    <w:rsid w:val="00FA490E"/>
    <w:rsid w:val="00FA66BA"/>
    <w:rsid w:val="00FC3D20"/>
    <w:rsid w:val="00FF2E4D"/>
    <w:rsid w:val="01826A7C"/>
    <w:rsid w:val="023D46EC"/>
    <w:rsid w:val="02E57613"/>
    <w:rsid w:val="03DA2A74"/>
    <w:rsid w:val="077F1302"/>
    <w:rsid w:val="086E5C87"/>
    <w:rsid w:val="08A718AC"/>
    <w:rsid w:val="08FF26FB"/>
    <w:rsid w:val="09C6146A"/>
    <w:rsid w:val="0AAD14F9"/>
    <w:rsid w:val="0BAF665A"/>
    <w:rsid w:val="0BEA58E4"/>
    <w:rsid w:val="0CE71E24"/>
    <w:rsid w:val="0CEE31B2"/>
    <w:rsid w:val="0EFB1BB6"/>
    <w:rsid w:val="0FED6590"/>
    <w:rsid w:val="10022AD1"/>
    <w:rsid w:val="10262C63"/>
    <w:rsid w:val="11AA7966"/>
    <w:rsid w:val="11C52008"/>
    <w:rsid w:val="141679B1"/>
    <w:rsid w:val="159E2C66"/>
    <w:rsid w:val="15B85137"/>
    <w:rsid w:val="16041BA6"/>
    <w:rsid w:val="17375756"/>
    <w:rsid w:val="17514A69"/>
    <w:rsid w:val="187854F2"/>
    <w:rsid w:val="18E40145"/>
    <w:rsid w:val="1901426D"/>
    <w:rsid w:val="19BE215E"/>
    <w:rsid w:val="1A442663"/>
    <w:rsid w:val="1AC75042"/>
    <w:rsid w:val="1C1A124E"/>
    <w:rsid w:val="1D2A530E"/>
    <w:rsid w:val="1F0653D6"/>
    <w:rsid w:val="1F42113B"/>
    <w:rsid w:val="1FA83868"/>
    <w:rsid w:val="22A46395"/>
    <w:rsid w:val="23496F3C"/>
    <w:rsid w:val="25290DD3"/>
    <w:rsid w:val="29455AB0"/>
    <w:rsid w:val="29DB01C2"/>
    <w:rsid w:val="2BDB0938"/>
    <w:rsid w:val="2C13581B"/>
    <w:rsid w:val="2C550700"/>
    <w:rsid w:val="2C9024A3"/>
    <w:rsid w:val="2C9E3E55"/>
    <w:rsid w:val="2DE7759F"/>
    <w:rsid w:val="2E0C4DEE"/>
    <w:rsid w:val="2F123941"/>
    <w:rsid w:val="2F1403FE"/>
    <w:rsid w:val="2F967065"/>
    <w:rsid w:val="33067B3D"/>
    <w:rsid w:val="33764379"/>
    <w:rsid w:val="33D04B10"/>
    <w:rsid w:val="361B61C7"/>
    <w:rsid w:val="36C50230"/>
    <w:rsid w:val="373F6235"/>
    <w:rsid w:val="39842625"/>
    <w:rsid w:val="3A2636DC"/>
    <w:rsid w:val="3A512225"/>
    <w:rsid w:val="3ADB2718"/>
    <w:rsid w:val="3AE4499E"/>
    <w:rsid w:val="3B451940"/>
    <w:rsid w:val="3B5953EB"/>
    <w:rsid w:val="3B797920"/>
    <w:rsid w:val="3B9C3C56"/>
    <w:rsid w:val="3CA52FDE"/>
    <w:rsid w:val="3D4440AF"/>
    <w:rsid w:val="3E905C61"/>
    <w:rsid w:val="3ECA4CD4"/>
    <w:rsid w:val="3ED951C1"/>
    <w:rsid w:val="3F275F2C"/>
    <w:rsid w:val="40475A64"/>
    <w:rsid w:val="40BF2194"/>
    <w:rsid w:val="41036525"/>
    <w:rsid w:val="42CD2946"/>
    <w:rsid w:val="42F00D2B"/>
    <w:rsid w:val="43CE2E1A"/>
    <w:rsid w:val="44586DC0"/>
    <w:rsid w:val="45C97345"/>
    <w:rsid w:val="46607F75"/>
    <w:rsid w:val="46D63D94"/>
    <w:rsid w:val="479E0D55"/>
    <w:rsid w:val="48271394"/>
    <w:rsid w:val="48805DD2"/>
    <w:rsid w:val="49115557"/>
    <w:rsid w:val="49C57CC7"/>
    <w:rsid w:val="4A993A56"/>
    <w:rsid w:val="4AFE195C"/>
    <w:rsid w:val="4B1D6435"/>
    <w:rsid w:val="4B304B48"/>
    <w:rsid w:val="4B5562A0"/>
    <w:rsid w:val="4BB9615E"/>
    <w:rsid w:val="4BC323F1"/>
    <w:rsid w:val="4C9B5A25"/>
    <w:rsid w:val="4CB16E35"/>
    <w:rsid w:val="4D2F6550"/>
    <w:rsid w:val="4D5347E9"/>
    <w:rsid w:val="4E345F70"/>
    <w:rsid w:val="4EE57FD2"/>
    <w:rsid w:val="4F6603AB"/>
    <w:rsid w:val="4F764366"/>
    <w:rsid w:val="50AD2009"/>
    <w:rsid w:val="50EC52DB"/>
    <w:rsid w:val="510D7238"/>
    <w:rsid w:val="518508DD"/>
    <w:rsid w:val="52732B71"/>
    <w:rsid w:val="52A120C3"/>
    <w:rsid w:val="532E3A5B"/>
    <w:rsid w:val="58006EC2"/>
    <w:rsid w:val="5959236C"/>
    <w:rsid w:val="59CA1FC7"/>
    <w:rsid w:val="5B0203A0"/>
    <w:rsid w:val="5B4F07C1"/>
    <w:rsid w:val="5BD4755B"/>
    <w:rsid w:val="5C533A65"/>
    <w:rsid w:val="5C7A4660"/>
    <w:rsid w:val="5CF214D0"/>
    <w:rsid w:val="60871931"/>
    <w:rsid w:val="60FD15F7"/>
    <w:rsid w:val="6189617B"/>
    <w:rsid w:val="62214605"/>
    <w:rsid w:val="62C531E2"/>
    <w:rsid w:val="634E6D48"/>
    <w:rsid w:val="63A75247"/>
    <w:rsid w:val="63E1229E"/>
    <w:rsid w:val="654C187B"/>
    <w:rsid w:val="661029C7"/>
    <w:rsid w:val="6655487D"/>
    <w:rsid w:val="665E3732"/>
    <w:rsid w:val="66BE6020"/>
    <w:rsid w:val="673E3563"/>
    <w:rsid w:val="67A94E81"/>
    <w:rsid w:val="69DF4B8A"/>
    <w:rsid w:val="6A00000E"/>
    <w:rsid w:val="6A694D9B"/>
    <w:rsid w:val="6A7A5576"/>
    <w:rsid w:val="6B160A7F"/>
    <w:rsid w:val="6BD46244"/>
    <w:rsid w:val="6CDE6EEF"/>
    <w:rsid w:val="6D535020"/>
    <w:rsid w:val="6D631F76"/>
    <w:rsid w:val="6D673814"/>
    <w:rsid w:val="6E0005AE"/>
    <w:rsid w:val="6E751F61"/>
    <w:rsid w:val="6ED3511D"/>
    <w:rsid w:val="6FA50623"/>
    <w:rsid w:val="6FAF2EFE"/>
    <w:rsid w:val="6FB849AC"/>
    <w:rsid w:val="709A7A5C"/>
    <w:rsid w:val="70E4517B"/>
    <w:rsid w:val="72A21CA3"/>
    <w:rsid w:val="737F0632"/>
    <w:rsid w:val="74A44FDB"/>
    <w:rsid w:val="75715150"/>
    <w:rsid w:val="75856B41"/>
    <w:rsid w:val="75FC6AC3"/>
    <w:rsid w:val="766C3C49"/>
    <w:rsid w:val="76966F18"/>
    <w:rsid w:val="776B5CAF"/>
    <w:rsid w:val="77A631DE"/>
    <w:rsid w:val="7A27050C"/>
    <w:rsid w:val="7AA240DD"/>
    <w:rsid w:val="7BFC5A6F"/>
    <w:rsid w:val="7C3C2310"/>
    <w:rsid w:val="7C896BD7"/>
    <w:rsid w:val="7CCD4AFB"/>
    <w:rsid w:val="7D2012E9"/>
    <w:rsid w:val="7D2423F5"/>
    <w:rsid w:val="7F5B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annotation text"/>
    <w:basedOn w:val="1"/>
    <w:link w:val="20"/>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4"/>
    <w:next w:val="4"/>
    <w:link w:val="21"/>
    <w:qFormat/>
    <w:uiPriority w:val="0"/>
    <w:rPr>
      <w:b/>
      <w:bCs/>
    </w:rPr>
  </w:style>
  <w:style w:type="character" w:styleId="13">
    <w:name w:val="annotation reference"/>
    <w:basedOn w:val="12"/>
    <w:qFormat/>
    <w:uiPriority w:val="0"/>
    <w:rPr>
      <w:sz w:val="21"/>
      <w:szCs w:val="21"/>
    </w:rPr>
  </w:style>
  <w:style w:type="paragraph" w:customStyle="1" w:styleId="14">
    <w:name w:val="列出段落2"/>
    <w:basedOn w:val="1"/>
    <w:qFormat/>
    <w:uiPriority w:val="34"/>
    <w:pPr>
      <w:ind w:firstLine="420" w:firstLineChars="200"/>
    </w:pPr>
  </w:style>
  <w:style w:type="character" w:customStyle="1" w:styleId="15">
    <w:name w:val="批注框文本 字符"/>
    <w:basedOn w:val="12"/>
    <w:link w:val="5"/>
    <w:qFormat/>
    <w:uiPriority w:val="0"/>
    <w:rPr>
      <w:rFonts w:ascii="Calibri" w:hAnsi="Calibri" w:eastAsia="宋体" w:cs="Times New Roman"/>
      <w:kern w:val="2"/>
      <w:sz w:val="18"/>
      <w:szCs w:val="18"/>
    </w:rPr>
  </w:style>
  <w:style w:type="paragraph" w:styleId="16">
    <w:name w:val="List Paragraph"/>
    <w:basedOn w:val="1"/>
    <w:qFormat/>
    <w:uiPriority w:val="34"/>
    <w:pPr>
      <w:ind w:firstLine="420" w:firstLineChars="200"/>
    </w:pPr>
    <w:rPr>
      <w:szCs w:val="22"/>
    </w:rPr>
  </w:style>
  <w:style w:type="character" w:customStyle="1" w:styleId="17">
    <w:name w:val="页眉 字符"/>
    <w:basedOn w:val="12"/>
    <w:link w:val="7"/>
    <w:qFormat/>
    <w:uiPriority w:val="0"/>
    <w:rPr>
      <w:rFonts w:ascii="Calibri" w:hAnsi="Calibri" w:eastAsia="宋体" w:cs="Times New Roman"/>
      <w:kern w:val="2"/>
      <w:sz w:val="18"/>
      <w:szCs w:val="18"/>
    </w:rPr>
  </w:style>
  <w:style w:type="character" w:customStyle="1" w:styleId="18">
    <w:name w:val="页脚 字符"/>
    <w:basedOn w:val="12"/>
    <w:link w:val="6"/>
    <w:qFormat/>
    <w:uiPriority w:val="99"/>
    <w:rPr>
      <w:rFonts w:ascii="Calibri" w:hAnsi="Calibri" w:eastAsia="宋体" w:cs="Times New Roman"/>
      <w:kern w:val="2"/>
      <w:sz w:val="18"/>
      <w:szCs w:val="18"/>
    </w:rPr>
  </w:style>
  <w:style w:type="character" w:customStyle="1" w:styleId="19">
    <w:name w:val="副标题 字符"/>
    <w:basedOn w:val="12"/>
    <w:link w:val="8"/>
    <w:qFormat/>
    <w:uiPriority w:val="0"/>
    <w:rPr>
      <w:rFonts w:ascii="Times New Roman" w:hAnsi="Times New Roman" w:eastAsia="黑体"/>
      <w:bCs/>
      <w:kern w:val="28"/>
      <w:sz w:val="32"/>
      <w:szCs w:val="32"/>
    </w:rPr>
  </w:style>
  <w:style w:type="character" w:customStyle="1" w:styleId="20">
    <w:name w:val="批注文字 字符"/>
    <w:basedOn w:val="12"/>
    <w:link w:val="4"/>
    <w:qFormat/>
    <w:uiPriority w:val="0"/>
    <w:rPr>
      <w:rFonts w:ascii="Calibri" w:hAnsi="Calibri" w:eastAsia="宋体" w:cs="Times New Roman"/>
      <w:kern w:val="2"/>
      <w:sz w:val="21"/>
      <w:szCs w:val="24"/>
    </w:rPr>
  </w:style>
  <w:style w:type="character" w:customStyle="1" w:styleId="21">
    <w:name w:val="批注主题 字符"/>
    <w:basedOn w:val="20"/>
    <w:link w:val="10"/>
    <w:qFormat/>
    <w:uiPriority w:val="0"/>
    <w:rPr>
      <w:rFonts w:ascii="Calibri" w:hAnsi="Calibri" w:eastAsia="宋体" w:cs="Times New Roman"/>
      <w:b/>
      <w:bCs/>
      <w:kern w:val="2"/>
      <w:sz w:val="21"/>
      <w:szCs w:val="24"/>
    </w:rPr>
  </w:style>
  <w:style w:type="paragraph" w:customStyle="1" w:styleId="22">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2480</Words>
  <Characters>2677</Characters>
  <Lines>16</Lines>
  <Paragraphs>4</Paragraphs>
  <TotalTime>15</TotalTime>
  <ScaleCrop>false</ScaleCrop>
  <LinksUpToDate>false</LinksUpToDate>
  <CharactersWithSpaces>2713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祁燕芹</cp:lastModifiedBy>
  <cp:lastPrinted>2023-09-19T03:09:16Z</cp:lastPrinted>
  <dcterms:modified xsi:type="dcterms:W3CDTF">2023-09-19T03:44:31Z</dcterms:modified>
  <dc:title>附件1</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BFD02D606F7B421BA16D13BA0ED4F7A7</vt:lpwstr>
  </property>
</Properties>
</file>