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hint="default" w:ascii="宋体" w:hAnsi="宋体" w:eastAsia="方正黑体_GBK" w:cs="宋体"/>
          <w:color w:val="auto"/>
          <w:spacing w:val="-11"/>
          <w:sz w:val="32"/>
          <w:szCs w:val="44"/>
          <w:lang w:val="en-US" w:eastAsia="zh-CN"/>
        </w:rPr>
      </w:pPr>
      <w:r>
        <w:rPr>
          <w:rFonts w:hint="eastAsia" w:ascii="宋体" w:hAnsi="宋体" w:eastAsia="方正黑体_GBK" w:cs="宋体"/>
          <w:color w:val="auto"/>
          <w:spacing w:val="-11"/>
          <w:sz w:val="32"/>
          <w:szCs w:val="44"/>
          <w:lang w:val="en-US" w:eastAsia="zh-CN"/>
        </w:rPr>
        <w:t>附件3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方正小标宋_GBK" w:cs="宋体"/>
          <w:color w:val="auto"/>
          <w:spacing w:val="-11"/>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eastAsia="方正小标宋_GBK" w:cs="宋体"/>
          <w:color w:val="auto"/>
          <w:spacing w:val="-11"/>
          <w:sz w:val="44"/>
          <w:szCs w:val="44"/>
        </w:rPr>
      </w:pPr>
      <w:bookmarkStart w:id="0" w:name="_GoBack"/>
      <w:bookmarkEnd w:id="0"/>
      <w:r>
        <w:rPr>
          <w:rFonts w:hint="eastAsia" w:ascii="宋体" w:hAnsi="宋体" w:eastAsia="方正小标宋_GBK" w:cs="宋体"/>
          <w:color w:val="auto"/>
          <w:spacing w:val="-11"/>
          <w:sz w:val="44"/>
          <w:szCs w:val="44"/>
        </w:rPr>
        <w:t>部分不合格检验项目小知识</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ascii="宋体" w:hAnsi="宋体" w:eastAsia="方正小标宋_GBK" w:cs="宋体"/>
          <w:color w:val="auto"/>
          <w:spacing w:val="-11"/>
          <w:sz w:val="44"/>
          <w:szCs w:val="44"/>
        </w:rPr>
      </w:pPr>
    </w:p>
    <w:p>
      <w:pPr>
        <w:keepNext w:val="0"/>
        <w:keepLines w:val="0"/>
        <w:pageBreakBefore w:val="0"/>
        <w:kinsoku/>
        <w:wordWrap/>
        <w:overflowPunct/>
        <w:topLinePunct w:val="0"/>
        <w:autoSpaceDE/>
        <w:autoSpaceDN/>
        <w:bidi w:val="0"/>
        <w:snapToGrid/>
        <w:spacing w:line="594" w:lineRule="exact"/>
        <w:ind w:firstLine="592" w:firstLineChars="200"/>
        <w:jc w:val="left"/>
        <w:textAlignment w:val="auto"/>
        <w:rPr>
          <w:rFonts w:hint="eastAsia" w:ascii="宋体" w:hAnsi="宋体" w:eastAsia="黑体"/>
          <w:color w:val="auto"/>
          <w:spacing w:val="-12"/>
          <w:sz w:val="32"/>
          <w:szCs w:val="32"/>
          <w:highlight w:val="none"/>
          <w:lang w:val="en-US" w:eastAsia="zh-CN"/>
        </w:rPr>
      </w:pPr>
      <w:r>
        <w:rPr>
          <w:rFonts w:hint="eastAsia" w:ascii="宋体" w:hAnsi="宋体" w:eastAsia="黑体"/>
          <w:color w:val="auto"/>
          <w:spacing w:val="-12"/>
          <w:sz w:val="32"/>
          <w:szCs w:val="32"/>
          <w:highlight w:val="none"/>
          <w:lang w:val="en-US" w:eastAsia="zh-CN"/>
        </w:rPr>
        <w:t>一、啶虫脒</w:t>
      </w:r>
    </w:p>
    <w:p>
      <w:pPr>
        <w:pStyle w:val="11"/>
        <w:keepNext w:val="0"/>
        <w:keepLines w:val="0"/>
        <w:pageBreakBefore w:val="0"/>
        <w:kinsoku/>
        <w:wordWrap/>
        <w:overflowPunct/>
        <w:topLinePunct w:val="0"/>
        <w:autoSpaceDE/>
        <w:autoSpaceDN/>
        <w:bidi w:val="0"/>
        <w:snapToGrid/>
        <w:spacing w:line="594" w:lineRule="exact"/>
        <w:textAlignment w:val="auto"/>
        <w:rPr>
          <w:rFonts w:hint="eastAsia" w:ascii="宋体" w:hAnsi="宋体" w:eastAsia="仿宋_GB2312" w:cs="Times New Roman"/>
          <w:color w:val="auto"/>
          <w:kern w:val="2"/>
          <w:sz w:val="32"/>
          <w:szCs w:val="32"/>
          <w:highlight w:val="none"/>
          <w:lang w:val="en-US" w:eastAsia="zh-CN" w:bidi="ar-SA"/>
        </w:rPr>
      </w:pPr>
      <w:r>
        <w:rPr>
          <w:rFonts w:hint="eastAsia" w:ascii="宋体" w:hAnsi="宋体" w:eastAsia="仿宋_GB2312" w:cs="Times New Roman"/>
          <w:color w:val="auto"/>
          <w:kern w:val="2"/>
          <w:sz w:val="32"/>
          <w:szCs w:val="32"/>
          <w:highlight w:val="none"/>
          <w:lang w:val="en-US" w:eastAsia="zh-CN" w:bidi="ar-SA"/>
        </w:rPr>
        <w:t>啶虫脒内吸性杀虫剂，急性毒性分级为中等毒。烟碱类杀虫剂，作为错误的神递质与乙酰胆碱受体结合，干扰神经系统中起重要作用的乙酰胆碱的正常功能，使神经传输保持开放状态，引起异常兴奋。中毒症状为恶心、呕吐、头痛、乏力、心跳过速等。食用食品一般不会导致啶虫脒的急性中毒，但长期食用啶虫脒超标的食品，对人体健康也有一定影响。《食品安全国家标准 食品中农药最大残留限量》（GB 2763—2021）中规定，啶虫脒在茄果类蔬菜（番茄、茄子、甜椒、黄秋葵除外）中的最大残留限量为0.2mg/kg。啶虫脒残留超标的原因可能是农产品种植者为加强防病效果超量使用农药，也可能是种植户未严格按照农药安全间隔期，提前采收农作物。</w:t>
      </w:r>
    </w:p>
    <w:p>
      <w:pPr>
        <w:pStyle w:val="11"/>
        <w:keepNext w:val="0"/>
        <w:keepLines w:val="0"/>
        <w:pageBreakBefore w:val="0"/>
        <w:kinsoku/>
        <w:wordWrap/>
        <w:overflowPunct/>
        <w:topLinePunct w:val="0"/>
        <w:autoSpaceDE/>
        <w:autoSpaceDN/>
        <w:bidi w:val="0"/>
        <w:snapToGrid/>
        <w:spacing w:line="594" w:lineRule="exact"/>
        <w:textAlignment w:val="auto"/>
        <w:rPr>
          <w:rFonts w:hint="eastAsia" w:ascii="宋体" w:hAnsi="宋体" w:eastAsia="黑体" w:cs="Times New Roman"/>
          <w:color w:val="auto"/>
          <w:spacing w:val="-12"/>
          <w:kern w:val="2"/>
          <w:sz w:val="32"/>
          <w:szCs w:val="32"/>
          <w:highlight w:val="none"/>
          <w:lang w:val="en-US" w:eastAsia="zh-CN" w:bidi="ar-SA"/>
        </w:rPr>
      </w:pPr>
      <w:r>
        <w:rPr>
          <w:rFonts w:hint="eastAsia" w:ascii="宋体" w:hAnsi="宋体" w:eastAsia="黑体" w:cs="Times New Roman"/>
          <w:color w:val="auto"/>
          <w:spacing w:val="-12"/>
          <w:kern w:val="2"/>
          <w:sz w:val="32"/>
          <w:szCs w:val="32"/>
          <w:highlight w:val="none"/>
          <w:lang w:val="en-US" w:eastAsia="zh-CN" w:bidi="ar-SA"/>
        </w:rPr>
        <w:t>二、噻虫嗪</w:t>
      </w:r>
    </w:p>
    <w:p>
      <w:pPr>
        <w:pStyle w:val="11"/>
        <w:keepNext w:val="0"/>
        <w:keepLines w:val="0"/>
        <w:pageBreakBefore w:val="0"/>
        <w:kinsoku/>
        <w:wordWrap/>
        <w:overflowPunct/>
        <w:topLinePunct w:val="0"/>
        <w:autoSpaceDE/>
        <w:autoSpaceDN/>
        <w:bidi w:val="0"/>
        <w:snapToGrid/>
        <w:spacing w:line="594" w:lineRule="exact"/>
        <w:textAlignment w:val="auto"/>
        <w:rPr>
          <w:rFonts w:hint="eastAsia" w:ascii="宋体" w:hAnsi="宋体" w:eastAsia="仿宋_GB2312" w:cs="Times New Roman"/>
          <w:color w:val="auto"/>
          <w:kern w:val="2"/>
          <w:sz w:val="32"/>
          <w:szCs w:val="32"/>
          <w:highlight w:val="none"/>
          <w:lang w:val="en-US" w:eastAsia="zh-CN" w:bidi="ar-SA"/>
        </w:rPr>
      </w:pPr>
      <w:r>
        <w:rPr>
          <w:rFonts w:hint="eastAsia" w:ascii="宋体" w:hAnsi="宋体" w:eastAsia="仿宋_GB2312" w:cs="Times New Roman"/>
          <w:color w:val="auto"/>
          <w:kern w:val="2"/>
          <w:sz w:val="32"/>
          <w:szCs w:val="32"/>
          <w:highlight w:val="none"/>
          <w:lang w:val="en-US" w:eastAsia="zh-CN" w:bidi="ar-SA"/>
        </w:rPr>
        <w:t>噻虫嗪是烟碱类杀虫剂，具有胃毒、触杀和内吸作用，对蚜虫等有较好防效。少量的残留不会引起人体急性中毒，但长期食用噻虫嗪超标的食品，对人体健康可能有一定影响。噻虫嗪残留量超标的原因，可能是种植户为快速控制虫害，加大用药量或未遵守采摘间隔期规定，致使上市销售的产品中残留量超标。</w:t>
      </w:r>
    </w:p>
    <w:p>
      <w:pPr>
        <w:pStyle w:val="11"/>
        <w:keepNext w:val="0"/>
        <w:keepLines w:val="0"/>
        <w:pageBreakBefore w:val="0"/>
        <w:kinsoku/>
        <w:wordWrap/>
        <w:overflowPunct/>
        <w:topLinePunct w:val="0"/>
        <w:autoSpaceDE/>
        <w:autoSpaceDN/>
        <w:bidi w:val="0"/>
        <w:snapToGrid/>
        <w:spacing w:line="594" w:lineRule="exact"/>
        <w:textAlignment w:val="auto"/>
        <w:rPr>
          <w:rFonts w:hint="eastAsia" w:ascii="宋体" w:hAnsi="宋体" w:eastAsia="黑体" w:cs="Times New Roman"/>
          <w:color w:val="auto"/>
          <w:spacing w:val="-12"/>
          <w:kern w:val="2"/>
          <w:sz w:val="32"/>
          <w:szCs w:val="32"/>
          <w:highlight w:val="none"/>
          <w:lang w:val="en-US" w:eastAsia="zh-CN" w:bidi="ar-SA"/>
        </w:rPr>
      </w:pPr>
      <w:r>
        <w:rPr>
          <w:rFonts w:hint="eastAsia" w:ascii="宋体" w:hAnsi="宋体" w:eastAsia="黑体" w:cs="Times New Roman"/>
          <w:color w:val="auto"/>
          <w:spacing w:val="-12"/>
          <w:kern w:val="2"/>
          <w:sz w:val="32"/>
          <w:szCs w:val="32"/>
          <w:highlight w:val="none"/>
          <w:lang w:val="en-US" w:eastAsia="zh-CN" w:bidi="ar-SA"/>
        </w:rPr>
        <w:t>三、酸价（以脂肪计）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宋体" w:hAnsi="宋体" w:eastAsia="方正仿宋_GBK" w:cs="方正仿宋_GBK"/>
          <w:color w:val="auto"/>
          <w:kern w:val="2"/>
          <w:sz w:val="32"/>
          <w:szCs w:val="32"/>
          <w:lang w:val="en-US" w:eastAsia="zh-CN" w:bidi="ar-SA"/>
        </w:rPr>
      </w:pPr>
      <w:r>
        <w:rPr>
          <w:rFonts w:hint="eastAsia" w:ascii="宋体" w:hAnsi="宋体" w:eastAsia="仿宋_GB2312" w:cs="Times New Roman"/>
          <w:color w:val="auto"/>
          <w:kern w:val="2"/>
          <w:sz w:val="32"/>
          <w:szCs w:val="32"/>
          <w:highlight w:val="none"/>
          <w:lang w:val="en-US" w:eastAsia="zh-CN" w:bidi="ar-SA"/>
        </w:rPr>
        <w:t>酸价主要反映食品中油脂的酸败程度。酸价超标会导致食品有哈喇味，超标严重时所产生的醛、酮、酸会破坏脂溶性维生素，导致肠胃不适。《食品安全国家标准 膨化食品》（GB 17401—2014）中规定，膨化食品中酸价（以脂肪计）（KOH）的最大限量值为5mg/g。该批次产品酸价超标的原因，可能是企业原料采购把关不严格，也可能是产品生产工艺不达标，还可能是产品储藏条件不当等。</w:t>
      </w:r>
    </w:p>
    <w:sectPr>
      <w:footerReference r:id="rId3" w:type="default"/>
      <w:footerReference r:id="rId4" w:type="even"/>
      <w:pgSz w:w="11906" w:h="16838"/>
      <w:pgMar w:top="2098" w:right="1417" w:bottom="147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189674B-0BC5-4F01-B227-82E2BB63C40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BCB82DDC-A777-48D8-817A-F27B57F7CD3D}"/>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embedRegular r:id="rId3" w:fontKey="{55B40F58-E16B-48D8-82E1-AD2AEA9D4C8F}"/>
  </w:font>
  <w:font w:name="方正小标宋_GBK">
    <w:panose1 w:val="03000509000000000000"/>
    <w:charset w:val="86"/>
    <w:family w:val="auto"/>
    <w:pitch w:val="default"/>
    <w:sig w:usb0="00000001" w:usb1="080E0000" w:usb2="00000000" w:usb3="00000000" w:csb0="00040000" w:csb1="00000000"/>
    <w:embedRegular r:id="rId4" w:fontKey="{49309F92-13E4-4898-8CB8-C8FC6DFC2AA1}"/>
  </w:font>
  <w:font w:name="方正仿宋_GBK">
    <w:panose1 w:val="03000509000000000000"/>
    <w:charset w:val="86"/>
    <w:family w:val="auto"/>
    <w:pitch w:val="default"/>
    <w:sig w:usb0="00000001" w:usb1="080E0000" w:usb2="00000000" w:usb3="00000000" w:csb0="00040000" w:csb1="00000000"/>
    <w:embedRegular r:id="rId5" w:fontKey="{68FC32F6-2ED7-438A-BBFA-3DEC0843EFD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docPartObj>
        <w:docPartGallery w:val="autotext"/>
      </w:docPartObj>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1N2JlNTk5N2I1MjE1ZDc4Y2MwMTI0OWVmYzZkOGMifQ=="/>
  </w:docVars>
  <w:rsids>
    <w:rsidRoot w:val="15B85137"/>
    <w:rsid w:val="000119D5"/>
    <w:rsid w:val="00013E30"/>
    <w:rsid w:val="000276F3"/>
    <w:rsid w:val="00045657"/>
    <w:rsid w:val="00063DA7"/>
    <w:rsid w:val="000868BD"/>
    <w:rsid w:val="0009071C"/>
    <w:rsid w:val="000C63B4"/>
    <w:rsid w:val="000D132D"/>
    <w:rsid w:val="000E0F61"/>
    <w:rsid w:val="000E639C"/>
    <w:rsid w:val="00101A1D"/>
    <w:rsid w:val="0010777E"/>
    <w:rsid w:val="00116CA2"/>
    <w:rsid w:val="00135634"/>
    <w:rsid w:val="00135A77"/>
    <w:rsid w:val="00142BDE"/>
    <w:rsid w:val="0015345E"/>
    <w:rsid w:val="00170041"/>
    <w:rsid w:val="0018028B"/>
    <w:rsid w:val="001B6492"/>
    <w:rsid w:val="00205007"/>
    <w:rsid w:val="00217ABC"/>
    <w:rsid w:val="00256527"/>
    <w:rsid w:val="00263FF9"/>
    <w:rsid w:val="00277D08"/>
    <w:rsid w:val="002805F4"/>
    <w:rsid w:val="002973CA"/>
    <w:rsid w:val="002B1D5C"/>
    <w:rsid w:val="00334125"/>
    <w:rsid w:val="0036317E"/>
    <w:rsid w:val="00366A48"/>
    <w:rsid w:val="003863E8"/>
    <w:rsid w:val="00387207"/>
    <w:rsid w:val="003B6CD4"/>
    <w:rsid w:val="003C1AAD"/>
    <w:rsid w:val="003D4702"/>
    <w:rsid w:val="003F5AD0"/>
    <w:rsid w:val="003F6028"/>
    <w:rsid w:val="00407D86"/>
    <w:rsid w:val="004201AC"/>
    <w:rsid w:val="00423211"/>
    <w:rsid w:val="00425E6A"/>
    <w:rsid w:val="00447299"/>
    <w:rsid w:val="00457F63"/>
    <w:rsid w:val="00467CE0"/>
    <w:rsid w:val="004707E4"/>
    <w:rsid w:val="004735A6"/>
    <w:rsid w:val="004C53F6"/>
    <w:rsid w:val="004D036B"/>
    <w:rsid w:val="004D0CC7"/>
    <w:rsid w:val="004D4E94"/>
    <w:rsid w:val="00514B88"/>
    <w:rsid w:val="005216E2"/>
    <w:rsid w:val="00541843"/>
    <w:rsid w:val="00551758"/>
    <w:rsid w:val="00565D70"/>
    <w:rsid w:val="00576235"/>
    <w:rsid w:val="0057719D"/>
    <w:rsid w:val="00580AA7"/>
    <w:rsid w:val="005A6A35"/>
    <w:rsid w:val="005A758A"/>
    <w:rsid w:val="005C0139"/>
    <w:rsid w:val="005C2A8D"/>
    <w:rsid w:val="005C692C"/>
    <w:rsid w:val="005C76FA"/>
    <w:rsid w:val="005D5A75"/>
    <w:rsid w:val="005E7727"/>
    <w:rsid w:val="00603050"/>
    <w:rsid w:val="00613B2D"/>
    <w:rsid w:val="006221A8"/>
    <w:rsid w:val="00632D84"/>
    <w:rsid w:val="00643647"/>
    <w:rsid w:val="006B4C83"/>
    <w:rsid w:val="006E25C7"/>
    <w:rsid w:val="006E3529"/>
    <w:rsid w:val="006E385A"/>
    <w:rsid w:val="006F10E4"/>
    <w:rsid w:val="007114C3"/>
    <w:rsid w:val="00716E8E"/>
    <w:rsid w:val="007323B8"/>
    <w:rsid w:val="00741E8B"/>
    <w:rsid w:val="00742D85"/>
    <w:rsid w:val="0076297A"/>
    <w:rsid w:val="00766A6B"/>
    <w:rsid w:val="00771D1B"/>
    <w:rsid w:val="00786192"/>
    <w:rsid w:val="0079128E"/>
    <w:rsid w:val="007B44DC"/>
    <w:rsid w:val="007C2539"/>
    <w:rsid w:val="007C55DC"/>
    <w:rsid w:val="007D761E"/>
    <w:rsid w:val="00800E6D"/>
    <w:rsid w:val="00806AD3"/>
    <w:rsid w:val="00821EE7"/>
    <w:rsid w:val="00845504"/>
    <w:rsid w:val="00846448"/>
    <w:rsid w:val="00887F75"/>
    <w:rsid w:val="00897065"/>
    <w:rsid w:val="008A48FA"/>
    <w:rsid w:val="008A5021"/>
    <w:rsid w:val="008B15D7"/>
    <w:rsid w:val="008C1364"/>
    <w:rsid w:val="008C1784"/>
    <w:rsid w:val="008C6ED2"/>
    <w:rsid w:val="008E0081"/>
    <w:rsid w:val="008E32F5"/>
    <w:rsid w:val="008E5099"/>
    <w:rsid w:val="008F021C"/>
    <w:rsid w:val="00900777"/>
    <w:rsid w:val="0093073B"/>
    <w:rsid w:val="00960313"/>
    <w:rsid w:val="00965F07"/>
    <w:rsid w:val="00970BC3"/>
    <w:rsid w:val="00971CE9"/>
    <w:rsid w:val="00974858"/>
    <w:rsid w:val="00974E0A"/>
    <w:rsid w:val="009B222A"/>
    <w:rsid w:val="009B4783"/>
    <w:rsid w:val="009C1BB5"/>
    <w:rsid w:val="009C3466"/>
    <w:rsid w:val="009D1B09"/>
    <w:rsid w:val="009E7BB2"/>
    <w:rsid w:val="00A010B9"/>
    <w:rsid w:val="00A0353B"/>
    <w:rsid w:val="00A1474C"/>
    <w:rsid w:val="00A26906"/>
    <w:rsid w:val="00A4164C"/>
    <w:rsid w:val="00A636E2"/>
    <w:rsid w:val="00A8267D"/>
    <w:rsid w:val="00A91948"/>
    <w:rsid w:val="00A9326F"/>
    <w:rsid w:val="00A93A64"/>
    <w:rsid w:val="00AA1D13"/>
    <w:rsid w:val="00AA3B2A"/>
    <w:rsid w:val="00AA5C0A"/>
    <w:rsid w:val="00AC1A0F"/>
    <w:rsid w:val="00AD14F2"/>
    <w:rsid w:val="00AD27DE"/>
    <w:rsid w:val="00AD3EE2"/>
    <w:rsid w:val="00AE2315"/>
    <w:rsid w:val="00AF4A96"/>
    <w:rsid w:val="00B11ADD"/>
    <w:rsid w:val="00B9140D"/>
    <w:rsid w:val="00B935D9"/>
    <w:rsid w:val="00BA3536"/>
    <w:rsid w:val="00BB0DB0"/>
    <w:rsid w:val="00BC6D13"/>
    <w:rsid w:val="00BD226E"/>
    <w:rsid w:val="00BE073D"/>
    <w:rsid w:val="00C05113"/>
    <w:rsid w:val="00C062B0"/>
    <w:rsid w:val="00C10C4F"/>
    <w:rsid w:val="00C202FE"/>
    <w:rsid w:val="00C34DC8"/>
    <w:rsid w:val="00C44F2E"/>
    <w:rsid w:val="00C4512B"/>
    <w:rsid w:val="00C65F31"/>
    <w:rsid w:val="00C66715"/>
    <w:rsid w:val="00C86322"/>
    <w:rsid w:val="00C95EE7"/>
    <w:rsid w:val="00C9799C"/>
    <w:rsid w:val="00CB26E2"/>
    <w:rsid w:val="00CB435C"/>
    <w:rsid w:val="00CB78B8"/>
    <w:rsid w:val="00CC1560"/>
    <w:rsid w:val="00CD0F21"/>
    <w:rsid w:val="00CD2A83"/>
    <w:rsid w:val="00CF5F6A"/>
    <w:rsid w:val="00CF6EF9"/>
    <w:rsid w:val="00D16B82"/>
    <w:rsid w:val="00D2666E"/>
    <w:rsid w:val="00D501B0"/>
    <w:rsid w:val="00D63508"/>
    <w:rsid w:val="00D70167"/>
    <w:rsid w:val="00D83AA0"/>
    <w:rsid w:val="00D87B22"/>
    <w:rsid w:val="00D93034"/>
    <w:rsid w:val="00DA0BCC"/>
    <w:rsid w:val="00DC00F9"/>
    <w:rsid w:val="00DD476E"/>
    <w:rsid w:val="00E00F1F"/>
    <w:rsid w:val="00E01E3C"/>
    <w:rsid w:val="00E167A0"/>
    <w:rsid w:val="00E21F73"/>
    <w:rsid w:val="00E32D98"/>
    <w:rsid w:val="00E43414"/>
    <w:rsid w:val="00E51E77"/>
    <w:rsid w:val="00E54A66"/>
    <w:rsid w:val="00E5774B"/>
    <w:rsid w:val="00E8121D"/>
    <w:rsid w:val="00E82C94"/>
    <w:rsid w:val="00EA77E3"/>
    <w:rsid w:val="00EC0211"/>
    <w:rsid w:val="00ED0256"/>
    <w:rsid w:val="00ED0DA7"/>
    <w:rsid w:val="00ED21A0"/>
    <w:rsid w:val="00EF6B02"/>
    <w:rsid w:val="00F05932"/>
    <w:rsid w:val="00F075AE"/>
    <w:rsid w:val="00F1347C"/>
    <w:rsid w:val="00F75612"/>
    <w:rsid w:val="00F80202"/>
    <w:rsid w:val="00F915D8"/>
    <w:rsid w:val="00FA490E"/>
    <w:rsid w:val="00FA66BA"/>
    <w:rsid w:val="00FC3D20"/>
    <w:rsid w:val="00FF2E4D"/>
    <w:rsid w:val="02DF598E"/>
    <w:rsid w:val="02E57613"/>
    <w:rsid w:val="04C76D91"/>
    <w:rsid w:val="04D4291E"/>
    <w:rsid w:val="07DB4775"/>
    <w:rsid w:val="08F07F5B"/>
    <w:rsid w:val="0AAD14F9"/>
    <w:rsid w:val="0BAF665A"/>
    <w:rsid w:val="0FED6590"/>
    <w:rsid w:val="101E7775"/>
    <w:rsid w:val="11AA7966"/>
    <w:rsid w:val="141679B1"/>
    <w:rsid w:val="159E2C66"/>
    <w:rsid w:val="15B85137"/>
    <w:rsid w:val="16041BA6"/>
    <w:rsid w:val="187854F2"/>
    <w:rsid w:val="1D2A530E"/>
    <w:rsid w:val="1DFF4B09"/>
    <w:rsid w:val="1F0653D6"/>
    <w:rsid w:val="27633C24"/>
    <w:rsid w:val="2AC16902"/>
    <w:rsid w:val="2B626CC5"/>
    <w:rsid w:val="2BDB0938"/>
    <w:rsid w:val="2C9024A3"/>
    <w:rsid w:val="2DE7759F"/>
    <w:rsid w:val="2EAF23A5"/>
    <w:rsid w:val="2F0D0E1E"/>
    <w:rsid w:val="2FB35B1D"/>
    <w:rsid w:val="32135C95"/>
    <w:rsid w:val="34220DB4"/>
    <w:rsid w:val="361B61C7"/>
    <w:rsid w:val="378206DC"/>
    <w:rsid w:val="37DE5A4E"/>
    <w:rsid w:val="3A512225"/>
    <w:rsid w:val="3B797920"/>
    <w:rsid w:val="3CEE66E0"/>
    <w:rsid w:val="3D2F4655"/>
    <w:rsid w:val="3ECA4CD4"/>
    <w:rsid w:val="3F2D2006"/>
    <w:rsid w:val="40475A64"/>
    <w:rsid w:val="43FB64F2"/>
    <w:rsid w:val="44586DC0"/>
    <w:rsid w:val="46F05C86"/>
    <w:rsid w:val="479E0D55"/>
    <w:rsid w:val="48645C90"/>
    <w:rsid w:val="48805DD2"/>
    <w:rsid w:val="492963C6"/>
    <w:rsid w:val="49BD776A"/>
    <w:rsid w:val="4A0D2464"/>
    <w:rsid w:val="4A486C4A"/>
    <w:rsid w:val="4AFE195C"/>
    <w:rsid w:val="4B304B48"/>
    <w:rsid w:val="4B5562A0"/>
    <w:rsid w:val="4BC323F1"/>
    <w:rsid w:val="4C9B5A25"/>
    <w:rsid w:val="4E755725"/>
    <w:rsid w:val="4EE57FD2"/>
    <w:rsid w:val="50804728"/>
    <w:rsid w:val="50E11443"/>
    <w:rsid w:val="513203F0"/>
    <w:rsid w:val="51632454"/>
    <w:rsid w:val="52732B71"/>
    <w:rsid w:val="532E3A5B"/>
    <w:rsid w:val="56124994"/>
    <w:rsid w:val="56D800A3"/>
    <w:rsid w:val="57DD4F82"/>
    <w:rsid w:val="5A947624"/>
    <w:rsid w:val="5B0203A0"/>
    <w:rsid w:val="5EAB5261"/>
    <w:rsid w:val="5F192639"/>
    <w:rsid w:val="60FD15F7"/>
    <w:rsid w:val="63A75247"/>
    <w:rsid w:val="63E11CB1"/>
    <w:rsid w:val="64FE2942"/>
    <w:rsid w:val="668C5268"/>
    <w:rsid w:val="67AB0CED"/>
    <w:rsid w:val="67D45B94"/>
    <w:rsid w:val="6931048F"/>
    <w:rsid w:val="6A00000E"/>
    <w:rsid w:val="6A592AD1"/>
    <w:rsid w:val="6A7A5576"/>
    <w:rsid w:val="6BE44B4A"/>
    <w:rsid w:val="6C2E1E33"/>
    <w:rsid w:val="6D535020"/>
    <w:rsid w:val="6E0005AE"/>
    <w:rsid w:val="6E69475C"/>
    <w:rsid w:val="6ED3511D"/>
    <w:rsid w:val="6FB849AC"/>
    <w:rsid w:val="70700E45"/>
    <w:rsid w:val="709C5D3C"/>
    <w:rsid w:val="70DC2E9E"/>
    <w:rsid w:val="714D5A47"/>
    <w:rsid w:val="727857FE"/>
    <w:rsid w:val="74A44FDB"/>
    <w:rsid w:val="756B7B8A"/>
    <w:rsid w:val="75856B41"/>
    <w:rsid w:val="76285DB6"/>
    <w:rsid w:val="77777B42"/>
    <w:rsid w:val="7AE845AB"/>
    <w:rsid w:val="7CCD4AFB"/>
    <w:rsid w:val="7D2423F5"/>
    <w:rsid w:val="7E6B032E"/>
    <w:rsid w:val="7E764C7A"/>
    <w:rsid w:val="7F5B1F50"/>
    <w:rsid w:val="7FD01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3">
    <w:name w:val="annotation text"/>
    <w:basedOn w:val="1"/>
    <w:link w:val="22"/>
    <w:qFormat/>
    <w:uiPriority w:val="0"/>
    <w:pPr>
      <w:jc w:val="left"/>
    </w:pPr>
  </w:style>
  <w:style w:type="paragraph" w:styleId="4">
    <w:name w:val="Body Text Indent"/>
    <w:basedOn w:val="1"/>
    <w:qFormat/>
    <w:uiPriority w:val="0"/>
    <w:pPr>
      <w:spacing w:after="120"/>
      <w:ind w:left="420" w:leftChars="200"/>
    </w:pPr>
  </w:style>
  <w:style w:type="paragraph" w:styleId="5">
    <w:name w:val="Balloon Text"/>
    <w:basedOn w:val="1"/>
    <w:link w:val="17"/>
    <w:qFormat/>
    <w:uiPriority w:val="0"/>
    <w:rPr>
      <w:sz w:val="18"/>
      <w:szCs w:val="18"/>
    </w:rPr>
  </w:style>
  <w:style w:type="paragraph" w:styleId="6">
    <w:name w:val="footer"/>
    <w:basedOn w:val="1"/>
    <w:link w:val="20"/>
    <w:qFormat/>
    <w:uiPriority w:val="99"/>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1"/>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9">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paragraph" w:styleId="10">
    <w:name w:val="annotation subject"/>
    <w:basedOn w:val="3"/>
    <w:next w:val="3"/>
    <w:link w:val="23"/>
    <w:qFormat/>
    <w:uiPriority w:val="0"/>
    <w:rPr>
      <w:b/>
      <w:bCs/>
    </w:rPr>
  </w:style>
  <w:style w:type="paragraph" w:styleId="11">
    <w:name w:val="Body Text First Indent 2"/>
    <w:basedOn w:val="4"/>
    <w:qFormat/>
    <w:uiPriority w:val="0"/>
    <w:pPr>
      <w:adjustRightInd w:val="0"/>
      <w:ind w:left="0" w:leftChars="0" w:firstLine="880" w:firstLineChars="200"/>
    </w:pPr>
    <w:rPr>
      <w:rFonts w:ascii="Calibri" w:hAnsi="Calibri" w:eastAsia="仿宋" w:cs="Times New Roman"/>
      <w:sz w:val="32"/>
    </w:rPr>
  </w:style>
  <w:style w:type="character" w:styleId="14">
    <w:name w:val="Strong"/>
    <w:basedOn w:val="13"/>
    <w:qFormat/>
    <w:uiPriority w:val="0"/>
    <w:rPr>
      <w:b/>
    </w:rPr>
  </w:style>
  <w:style w:type="character" w:styleId="15">
    <w:name w:val="annotation reference"/>
    <w:basedOn w:val="13"/>
    <w:qFormat/>
    <w:uiPriority w:val="0"/>
    <w:rPr>
      <w:sz w:val="21"/>
      <w:szCs w:val="21"/>
    </w:rPr>
  </w:style>
  <w:style w:type="paragraph" w:customStyle="1" w:styleId="16">
    <w:name w:val="列出段落2"/>
    <w:basedOn w:val="1"/>
    <w:qFormat/>
    <w:uiPriority w:val="34"/>
    <w:pPr>
      <w:ind w:firstLine="420" w:firstLineChars="200"/>
    </w:pPr>
  </w:style>
  <w:style w:type="character" w:customStyle="1" w:styleId="17">
    <w:name w:val="批注框文本 字符"/>
    <w:basedOn w:val="13"/>
    <w:link w:val="5"/>
    <w:qFormat/>
    <w:uiPriority w:val="0"/>
    <w:rPr>
      <w:rFonts w:ascii="Calibri" w:hAnsi="Calibri" w:eastAsia="宋体" w:cs="Times New Roman"/>
      <w:kern w:val="2"/>
      <w:sz w:val="18"/>
      <w:szCs w:val="18"/>
    </w:rPr>
  </w:style>
  <w:style w:type="paragraph" w:styleId="18">
    <w:name w:val="List Paragraph"/>
    <w:basedOn w:val="1"/>
    <w:qFormat/>
    <w:uiPriority w:val="34"/>
    <w:pPr>
      <w:ind w:firstLine="420" w:firstLineChars="200"/>
    </w:pPr>
    <w:rPr>
      <w:szCs w:val="22"/>
    </w:rPr>
  </w:style>
  <w:style w:type="character" w:customStyle="1" w:styleId="19">
    <w:name w:val="页眉 字符"/>
    <w:basedOn w:val="13"/>
    <w:link w:val="7"/>
    <w:qFormat/>
    <w:uiPriority w:val="0"/>
    <w:rPr>
      <w:rFonts w:ascii="Calibri" w:hAnsi="Calibri" w:eastAsia="宋体" w:cs="Times New Roman"/>
      <w:kern w:val="2"/>
      <w:sz w:val="18"/>
      <w:szCs w:val="18"/>
    </w:rPr>
  </w:style>
  <w:style w:type="character" w:customStyle="1" w:styleId="20">
    <w:name w:val="页脚 字符"/>
    <w:basedOn w:val="13"/>
    <w:link w:val="6"/>
    <w:qFormat/>
    <w:uiPriority w:val="99"/>
    <w:rPr>
      <w:rFonts w:ascii="Calibri" w:hAnsi="Calibri" w:eastAsia="宋体" w:cs="Times New Roman"/>
      <w:kern w:val="2"/>
      <w:sz w:val="18"/>
      <w:szCs w:val="18"/>
    </w:rPr>
  </w:style>
  <w:style w:type="character" w:customStyle="1" w:styleId="21">
    <w:name w:val="副标题 字符"/>
    <w:basedOn w:val="13"/>
    <w:link w:val="8"/>
    <w:qFormat/>
    <w:uiPriority w:val="0"/>
    <w:rPr>
      <w:rFonts w:ascii="Times New Roman" w:hAnsi="Times New Roman" w:eastAsia="黑体"/>
      <w:bCs/>
      <w:kern w:val="28"/>
      <w:sz w:val="32"/>
      <w:szCs w:val="32"/>
    </w:rPr>
  </w:style>
  <w:style w:type="character" w:customStyle="1" w:styleId="22">
    <w:name w:val="批注文字 字符"/>
    <w:basedOn w:val="13"/>
    <w:link w:val="3"/>
    <w:qFormat/>
    <w:uiPriority w:val="0"/>
    <w:rPr>
      <w:rFonts w:ascii="Calibri" w:hAnsi="Calibri" w:eastAsia="宋体" w:cs="Times New Roman"/>
      <w:kern w:val="2"/>
      <w:sz w:val="21"/>
      <w:szCs w:val="24"/>
    </w:rPr>
  </w:style>
  <w:style w:type="character" w:customStyle="1" w:styleId="23">
    <w:name w:val="批注主题 字符"/>
    <w:basedOn w:val="22"/>
    <w:link w:val="10"/>
    <w:qFormat/>
    <w:uiPriority w:val="0"/>
    <w:rPr>
      <w:rFonts w:ascii="Calibri" w:hAnsi="Calibri" w:eastAsia="宋体" w:cs="Times New Roman"/>
      <w:b/>
      <w:bCs/>
      <w:kern w:val="2"/>
      <w:sz w:val="21"/>
      <w:szCs w:val="24"/>
    </w:rPr>
  </w:style>
  <w:style w:type="paragraph" w:customStyle="1" w:styleId="24">
    <w:name w:val="列出段落1"/>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996</Words>
  <Characters>1041</Characters>
  <Lines>16</Lines>
  <Paragraphs>4</Paragraphs>
  <TotalTime>1</TotalTime>
  <ScaleCrop>false</ScaleCrop>
  <LinksUpToDate>false</LinksUpToDate>
  <CharactersWithSpaces>1049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Administrator</cp:lastModifiedBy>
  <dcterms:modified xsi:type="dcterms:W3CDTF">2024-03-28T02:48:30Z</dcterms:modified>
  <dc:title>附件1</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665DFCFFE0C14853875C9B62468006AB</vt:lpwstr>
  </property>
</Properties>
</file>